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 V</w:t>
            </w:r>
          </w:p>
        </w:tc>
        <w:tc>
          <w:tcPr>
            <w:tcW w:w="1560" w:type="dxa"/>
            <w:shd w:val="clear" w:color="auto" w:fill="F2F2F2"/>
            <w:vAlign w:val="center"/>
          </w:tcPr>
          <w:p>
            <w:r>
              <w:t>intern</w:t>
            </w:r>
          </w:p>
        </w:tc>
        <w:tc>
          <w:tcPr>
            <w:tcW w:w="1842" w:type="dxa"/>
            <w:shd w:val="clear" w:color="auto" w:fill="F2F2F2"/>
            <w:vAlign w:val="center"/>
          </w:tcPr>
          <w:p>
            <w:r>
              <w:t>+91 9498057400</w:t>
            </w:r>
          </w:p>
        </w:tc>
        <w:tc>
          <w:tcPr>
            <w:tcW w:w="3253" w:type="dxa"/>
            <w:shd w:val="clear" w:color="auto" w:fill="F2F2F2"/>
            <w:vAlign w:val="center"/>
          </w:tcPr>
          <w:p>
            <w:r>
              <w:t>adkjnf</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