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4"/>
        </w:rPr>
        <w:t>Crop Yield Prediction Using Multimodal Data Fusion</w:t>
      </w:r>
    </w:p>
    <w:p>
      <w:pPr>
        <w:spacing w:after="320"/>
        <w:jc w:val="center"/>
      </w:pPr>
      <w:r>
        <w:rPr>
          <w:rFonts w:ascii="Arial" w:hAnsi="Arial"/>
          <w:i/>
          <w:color w:val="5A6978"/>
          <w:sz w:val="26"/>
        </w:rPr>
        <w:t>Semester 5 Academic Project Report (Interim Draft)</w:t>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pPr>
              <w:spacing w:after="40"/>
            </w:pPr>
            <w:r>
              <w:rPr>
                <w:b/>
                <w:color w:val="1B365D"/>
                <w:sz w:val="19"/>
              </w:rPr>
              <w:t>Project Domain:</w:t>
            </w:r>
          </w:p>
        </w:tc>
        <w:tc>
          <w:tcPr>
            <w:tcW w:type="dxa" w:w="6192"/>
            <w:shd w:fill="F8FAFC"/>
            <w:tcMar>
              <w:top w:w="60" w:type="dxa"/>
              <w:bottom w:w="60" w:type="dxa"/>
              <w:left w:w="100" w:type="dxa"/>
              <w:right w:w="100" w:type="dxa"/>
            </w:tcMar>
          </w:tcPr>
          <w:p>
            <w:pPr>
              <w:spacing w:after="40"/>
            </w:pPr>
            <w:r>
              <w:rPr>
                <w:sz w:val="19"/>
              </w:rPr>
              <w:t>Machine Learning, Remote Sensing &amp; Precision Agriculture</w:t>
            </w:r>
          </w:p>
        </w:tc>
      </w:tr>
      <w:tr>
        <w:tc>
          <w:tcPr>
            <w:tcW w:type="dxa" w:w="3168"/>
            <w:shd w:fill="F0F4F8"/>
            <w:tcMar>
              <w:top w:w="60" w:type="dxa"/>
              <w:bottom w:w="60" w:type="dxa"/>
              <w:left w:w="100" w:type="dxa"/>
              <w:right w:w="100" w:type="dxa"/>
            </w:tcMar>
          </w:tcPr>
          <w:p>
            <w:pPr>
              <w:spacing w:after="40"/>
            </w:pPr>
            <w:r>
              <w:rPr>
                <w:b/>
                <w:color w:val="1B365D"/>
                <w:sz w:val="19"/>
              </w:rPr>
              <w:t>Focus Crops:</w:t>
            </w:r>
          </w:p>
        </w:tc>
        <w:tc>
          <w:tcPr>
            <w:tcW w:type="dxa" w:w="6192"/>
            <w:shd w:fill="F8FAFC"/>
            <w:tcMar>
              <w:top w:w="60" w:type="dxa"/>
              <w:bottom w:w="60" w:type="dxa"/>
              <w:left w:w="100" w:type="dxa"/>
              <w:right w:w="100" w:type="dxa"/>
            </w:tcMar>
          </w:tcPr>
          <w:p>
            <w:pPr>
              <w:spacing w:after="40"/>
            </w:pPr>
            <w:r>
              <w:rPr>
                <w:sz w:val="19"/>
              </w:rPr>
              <w:t>Rice (Oryza sativa) &amp; Maize (Zea mays) across India</w:t>
            </w:r>
          </w:p>
        </w:tc>
      </w:tr>
      <w:tr>
        <w:tc>
          <w:tcPr>
            <w:tcW w:type="dxa" w:w="3168"/>
            <w:shd w:fill="F0F4F8"/>
            <w:tcMar>
              <w:top w:w="60" w:type="dxa"/>
              <w:bottom w:w="60" w:type="dxa"/>
              <w:left w:w="100" w:type="dxa"/>
              <w:right w:w="100" w:type="dxa"/>
            </w:tcMar>
          </w:tcPr>
          <w:p>
            <w:pPr>
              <w:spacing w:after="40"/>
            </w:pPr>
            <w:r>
              <w:rPr>
                <w:b/>
                <w:color w:val="1B365D"/>
                <w:sz w:val="19"/>
              </w:rPr>
              <w:t>Data Modalities:</w:t>
            </w:r>
          </w:p>
        </w:tc>
        <w:tc>
          <w:tcPr>
            <w:tcW w:type="dxa" w:w="6192"/>
            <w:shd w:fill="F8FAFC"/>
            <w:tcMar>
              <w:top w:w="60" w:type="dxa"/>
              <w:bottom w:w="60" w:type="dxa"/>
              <w:left w:w="100" w:type="dxa"/>
              <w:right w:w="100" w:type="dxa"/>
            </w:tcMar>
          </w:tcPr>
          <w:p>
            <w:pPr>
              <w:spacing w:after="40"/>
            </w:pPr>
            <w:r>
              <w:rPr>
                <w:sz w:val="19"/>
              </w:rPr>
              <w:t>Agronomic Records, Soil Profiling, Sentinel-2 Multispectral Imagery</w:t>
            </w:r>
          </w:p>
        </w:tc>
      </w:tr>
      <w:tr>
        <w:tc>
          <w:tcPr>
            <w:tcW w:type="dxa" w:w="3168"/>
            <w:shd w:fill="F0F4F8"/>
            <w:tcMar>
              <w:top w:w="60" w:type="dxa"/>
              <w:bottom w:w="60" w:type="dxa"/>
              <w:left w:w="100" w:type="dxa"/>
              <w:right w:w="100" w:type="dxa"/>
            </w:tcMar>
          </w:tcPr>
          <w:p>
            <w:pPr>
              <w:spacing w:after="40"/>
            </w:pPr>
            <w:r>
              <w:rPr>
                <w:b/>
                <w:color w:val="1B365D"/>
                <w:sz w:val="19"/>
              </w:rPr>
              <w:t>Project Status:</w:t>
            </w:r>
          </w:p>
        </w:tc>
        <w:tc>
          <w:tcPr>
            <w:tcW w:type="dxa" w:w="6192"/>
            <w:shd w:fill="F8FAFC"/>
            <w:tcMar>
              <w:top w:w="60" w:type="dxa"/>
              <w:bottom w:w="60" w:type="dxa"/>
              <w:left w:w="100" w:type="dxa"/>
              <w:right w:w="100" w:type="dxa"/>
            </w:tcMar>
          </w:tcPr>
          <w:p>
            <w:pPr>
              <w:spacing w:after="40"/>
            </w:pPr>
            <w:r>
              <w:rPr>
                <w:sz w:val="19"/>
              </w:rPr>
              <w:t>Mid-Stage Progress Report (Baselines &amp; UI Completed)</w:t>
            </w:r>
          </w:p>
        </w:tc>
      </w:tr>
    </w:tbl>
    <w:p>
      <w:pPr>
        <w:spacing w:after="240"/>
      </w:pPr>
    </w:p>
    <w:p>
      <w:pPr>
        <w:keepNext/>
        <w:spacing w:before="320" w:after="120"/>
      </w:pPr>
      <w:r>
        <w:rPr>
          <w:rFonts w:ascii="Arial" w:hAnsi="Arial"/>
          <w:b/>
          <w:color w:val="1B365D"/>
          <w:sz w:val="30"/>
        </w:rPr>
        <w:t>Abstract</w:t>
      </w:r>
    </w:p>
    <w:p>
      <w:pPr>
        <w:spacing w:line="276" w:lineRule="auto" w:after="160"/>
      </w:pPr>
      <w:r>
        <w:t>Accurate crop yield prediction is crucial for food security planning, agricultural market stability, and localized resource management. Traditional agricultural yield estimation relies primarily on regional agronomic surveys and historical production records, which often lag in time and fail to capture real-time vegetative dynamics. Conversely, satellite remote sensing provides continuous vegetation indices (e.g., NDVI, EVI) but lacks critical ground-truth agronomic context such as fertilizer dosage, pesticide application, and localized soil chemical composition. This project develops a multimodal data fusion pipeline that integrates historical agricultural statistics, meteorological patterns, soil profile lookup tables, and Sentinel-2 multispectral surface reflectance data to forecast rice and maize yields across Indian states.</w:t>
      </w:r>
    </w:p>
    <w:p>
      <w:r>
        <w:t>At this interim project stage, we have established: (1) an auditable, leakage-free data harmonization pipeline across 1,774 agricultural records spanning 1997–2020 and matched Sentinel-2 satellite tiles; (2) a temporal evaluation scheme (Training: &lt;=2016, Validation: 2017–2018, Testing: 2019–2020); (3) strong tabular regression baselines, where Gradient Boosting achieves a test R² of 0.6919 and an RMSE of 0.8035 tonnes/ha (Rice R² = 0.7082, Maize R² = 0.6750); (4) image-only exploratory baselines (custom 6-channel CNN and spatial summary regressors) confirming that satellite data alone is insufficient without agronomic inputs; and (5) an interactive Streamlit analytical and inference dashboard. This draft documents the system architecture, empirical benchmarks, and future fusion roadmap.</w:t>
      </w:r>
    </w:p>
    <w:p>
      <w:pPr>
        <w:keepNext/>
        <w:spacing w:before="320" w:after="120"/>
      </w:pPr>
      <w:r>
        <w:rPr>
          <w:rFonts w:ascii="Arial" w:hAnsi="Arial"/>
          <w:b/>
          <w:color w:val="1B365D"/>
          <w:sz w:val="30"/>
        </w:rPr>
        <w:t>1. Introduction</w:t>
      </w:r>
    </w:p>
    <w:p>
      <w:pPr>
        <w:keepNext/>
        <w:spacing w:before="240" w:after="80"/>
      </w:pPr>
      <w:r>
        <w:rPr>
          <w:rFonts w:ascii="Arial" w:hAnsi="Arial"/>
          <w:b/>
          <w:color w:val="29466E"/>
          <w:sz w:val="25"/>
        </w:rPr>
        <w:t>1.1 Problem Statement &amp; Motivation</w:t>
      </w:r>
    </w:p>
    <w:p>
      <w:r>
        <w:t>Agriculture forms the backbone of India's economy, supporting over 50% of the working population. Rice (Oryza sativa) and Maize (Zea mays) serve as foundational staple and commercial crops. However, crop yield fluctuates significantly across agro-climatic zones due to erratic rainfall, disparate soil nutrient reserves, and unequal chemical input applications.</w:t>
        <w:br/>
        <w:br/>
        <w:t>While statistical yield regression based on historical census data provides an overarching macro-level baseline, it cannot observe the actual physiological health of standing crops during critical growth stages. Concurrently, satellite remote sensing (such as the European Space Agency's Sentinel-2 constellation) captures high-resolution vegetation greenness and canopy moisture, yet satellite rasters cannot directly quantify human interventions such as fertilizer or pesticide application. Fusing ground agronomic records with satellite observations bridges this gap, establishing a robust multimodal forecasting system.</w:t>
      </w:r>
    </w:p>
    <w:p>
      <w:pPr>
        <w:keepNext/>
        <w:spacing w:before="240" w:after="80"/>
      </w:pPr>
      <w:r>
        <w:rPr>
          <w:rFonts w:ascii="Arial" w:hAnsi="Arial"/>
          <w:b/>
          <w:color w:val="29466E"/>
          <w:sz w:val="25"/>
        </w:rPr>
        <w:t>1.2 Core Objectives</w:t>
      </w:r>
    </w:p>
    <w:p>
      <w:pPr>
        <w:spacing w:after="60"/>
        <w:ind w:left="360"/>
      </w:pPr>
      <w:r>
        <w:rPr>
          <w:b/>
        </w:rPr>
        <w:t xml:space="preserve">• Multimodal Harmonization: </w:t>
      </w:r>
      <w:r>
        <w:t>Integrate tabular records, soil chemistry profiles, geographic coordinates, and Sentinel-2 spectral indices into an auditable data pipeline.</w:t>
      </w:r>
    </w:p>
    <w:p>
      <w:pPr>
        <w:spacing w:after="60"/>
        <w:ind w:left="360"/>
      </w:pPr>
      <w:r>
        <w:rPr>
          <w:b/>
        </w:rPr>
        <w:t xml:space="preserve">• Leakage Prevention &amp; Chronological Splitting: </w:t>
      </w:r>
      <w:r>
        <w:t>Enforce strict temporal train-validation-test partitioning to simulate genuine out-of-sample forward forecasting, completely eliminating circular target leakage.</w:t>
      </w:r>
    </w:p>
    <w:p>
      <w:pPr>
        <w:spacing w:after="60"/>
        <w:ind w:left="360"/>
      </w:pPr>
      <w:r>
        <w:rPr>
          <w:b/>
        </w:rPr>
        <w:t xml:space="preserve">• Baseline Benchmarking: </w:t>
      </w:r>
      <w:r>
        <w:t>Establish rigorous tabular and image-only baselines to quantify the individual predictive strengths of each modality.</w:t>
      </w:r>
    </w:p>
    <w:p>
      <w:pPr>
        <w:spacing w:after="60"/>
        <w:ind w:left="360"/>
      </w:pPr>
      <w:r>
        <w:rPr>
          <w:b/>
        </w:rPr>
        <w:t xml:space="preserve">• Decision-Support Dashboard: </w:t>
      </w:r>
      <w:r>
        <w:t>Deploy an interactive Streamlit dashboard featuring geospatial maps, satellite tile visualizers, and interactive inference calculators.</w:t>
      </w:r>
    </w:p>
    <w:p>
      <w:pPr>
        <w:spacing w:after="60"/>
        <w:ind w:left="360"/>
      </w:pPr>
      <w:r>
        <w:rPr>
          <w:b/>
        </w:rPr>
        <w:t xml:space="preserve">• Deep Multimodal Fusion (Pending Phase): </w:t>
      </w:r>
      <w:r>
        <w:t>Implement joint dual-branch neural architectures to evaluate performance gains achieved by deep fusion over single-modality baselines.</w:t>
      </w:r>
    </w:p>
    <w:p>
      <w:pPr>
        <w:keepNext/>
        <w:spacing w:before="320" w:after="120"/>
      </w:pPr>
      <w:r>
        <w:rPr>
          <w:rFonts w:ascii="Arial" w:hAnsi="Arial"/>
          <w:b/>
          <w:color w:val="1B365D"/>
          <w:sz w:val="30"/>
        </w:rPr>
        <w:t>2. Literature Review &amp; Theoretical Framework</w:t>
      </w:r>
    </w:p>
    <w:p>
      <w:pPr>
        <w:keepNext/>
        <w:spacing w:before="240" w:after="80"/>
      </w:pPr>
      <w:r>
        <w:rPr>
          <w:rFonts w:ascii="Arial" w:hAnsi="Arial"/>
          <w:b/>
          <w:color w:val="29466E"/>
          <w:sz w:val="25"/>
        </w:rPr>
        <w:t>2.1 Statistical &amp; Machine Learning Approaches</w:t>
      </w:r>
    </w:p>
    <w:p>
      <w:r>
        <w:t>Early agricultural yield models relied heavily on linear regression and autoregressive time-series linking rainfall anomalies to harvest totals. The introduction of non-linear tree-based ensembles—principally Random Forests (Breiman, 2001) and Gradient Boosted Decision Trees (Friedman, 2001)—significantly improved predictive accuracy by capturing complex non-linear interactions between temperature, fertilizer dosage, and cultivated area. Nonetheless, purely tabular systems suffer from spatial coarseness and reporting delays.</w:t>
      </w:r>
    </w:p>
    <w:p>
      <w:pPr>
        <w:keepNext/>
        <w:spacing w:before="240" w:after="80"/>
      </w:pPr>
      <w:r>
        <w:rPr>
          <w:rFonts w:ascii="Arial" w:hAnsi="Arial"/>
          <w:b/>
          <w:color w:val="29466E"/>
          <w:sz w:val="25"/>
        </w:rPr>
        <w:t>2.2 Multispectral Remote Sensing &amp; Vegetation Indices</w:t>
      </w:r>
    </w:p>
    <w:p>
      <w:r>
        <w:t>The Sentinel-2 satellite mission provides 10m to 20m spatial resolution across 13 spectral bands with a 5-day revisit frequency. Key vegetation and moisture indices utilized in this work include:</w:t>
      </w:r>
    </w:p>
    <w:p>
      <w:pPr>
        <w:spacing w:after="60"/>
        <w:ind w:left="360"/>
      </w:pPr>
      <w:r>
        <w:rPr>
          <w:b/>
        </w:rPr>
        <w:t xml:space="preserve">• Normalized Difference Vegetation Index (NDVI): </w:t>
      </w:r>
      <w:r>
        <w:t>NDVI = (NIR - RED) / (NIR + RED). Captures chlorophyll absorption and canopy density.</w:t>
      </w:r>
    </w:p>
    <w:p>
      <w:pPr>
        <w:spacing w:after="60"/>
        <w:ind w:left="360"/>
      </w:pPr>
      <w:r>
        <w:rPr>
          <w:b/>
        </w:rPr>
        <w:t xml:space="preserve">• Enhanced Vegetation Index (EVI): </w:t>
      </w:r>
      <w:r>
        <w:t>EVI = 2.5 * (NIR - RED) / (NIR + 6*RED - 7.5*BLUE + 1). Mitigates soil background noise and atmospheric aerosol saturation.</w:t>
      </w:r>
    </w:p>
    <w:p>
      <w:pPr>
        <w:spacing w:after="60"/>
        <w:ind w:left="360"/>
      </w:pPr>
      <w:r>
        <w:rPr>
          <w:b/>
        </w:rPr>
        <w:t xml:space="preserve">• Normalized Difference Water Index (NDWI): </w:t>
      </w:r>
      <w:r>
        <w:t>NDWI = (GREEN - NIR) / (GREEN + NIR). Sensitive to changes in liquid water content of crop canopies.</w:t>
      </w:r>
    </w:p>
    <w:p>
      <w:pPr>
        <w:keepNext/>
        <w:spacing w:before="240" w:after="80"/>
      </w:pPr>
      <w:r>
        <w:rPr>
          <w:rFonts w:ascii="Arial" w:hAnsi="Arial"/>
          <w:b/>
          <w:color w:val="29466E"/>
          <w:sz w:val="25"/>
        </w:rPr>
        <w:t>2.3 Multimodal Data Fusion Taxonomy</w:t>
      </w:r>
    </w:p>
    <w:p>
      <w:r>
        <w:t>Multimodal fusion is categorized into three paradigms: (1) Early Fusion, where tabular variables and flattened image features are concatenated before regression; (2) Intermediate / Joint Fusion, where a convolutional vision trunk and a tabular MLP trunk extract latent embedding vectors that are concatenated and optimized end-to-end; and (3) Late Fusion, where predictions from independently trained models are ensembled via stacking or weighted averaging.</w:t>
      </w:r>
    </w:p>
    <w:p>
      <w:pPr>
        <w:keepNext/>
        <w:spacing w:before="320" w:after="120"/>
      </w:pPr>
      <w:r>
        <w:rPr>
          <w:rFonts w:ascii="Arial" w:hAnsi="Arial"/>
          <w:b/>
          <w:color w:val="1B365D"/>
          <w:sz w:val="30"/>
        </w:rPr>
        <w:t>3. Data Engineering &amp; Preprocessing Pipeline</w:t>
      </w:r>
    </w:p>
    <w:p>
      <w:pPr>
        <w:keepNext/>
        <w:spacing w:before="240" w:after="80"/>
      </w:pPr>
      <w:r>
        <w:rPr>
          <w:rFonts w:ascii="Arial" w:hAnsi="Arial"/>
          <w:b/>
          <w:color w:val="29466E"/>
          <w:sz w:val="25"/>
        </w:rPr>
        <w:t>3.1 Integrated Data Sources</w:t>
      </w:r>
    </w:p>
    <w:p>
      <w:r>
        <w:t>The multimodal repository integrates five core data streams:</w:t>
      </w:r>
    </w:p>
    <w:p>
      <w:pPr>
        <w:spacing w:after="60"/>
        <w:ind w:left="360"/>
      </w:pPr>
      <w:r>
        <w:rPr>
          <w:b/>
        </w:rPr>
        <w:t xml:space="preserve">• Crop Production Records (crop_yield.csv): </w:t>
      </w:r>
      <w:r>
        <w:t>1,781 historical records across Indian states detailing Crop (Rice, Maize), Season, Area (ha), Production (tonnes), Annual Rainfall (mm), Fertilizer (kg), and Pesticide (kg).</w:t>
      </w:r>
    </w:p>
    <w:p>
      <w:pPr>
        <w:spacing w:after="60"/>
        <w:ind w:left="360"/>
      </w:pPr>
      <w:r>
        <w:rPr>
          <w:b/>
        </w:rPr>
        <w:t xml:space="preserve">• Spatial Coordinates (state_coordinates.csv): </w:t>
      </w:r>
      <w:r>
        <w:t>State centroid latitude and longitude metadata for spatial alignment.</w:t>
      </w:r>
    </w:p>
    <w:p>
      <w:pPr>
        <w:spacing w:after="60"/>
        <w:ind w:left="360"/>
      </w:pPr>
      <w:r>
        <w:rPr>
          <w:b/>
        </w:rPr>
        <w:t xml:space="preserve">• Soil Profiles (state_soil_lookup.csv): </w:t>
      </w:r>
      <w:r>
        <w:t>Macro-nutrient and chemical profiles (N, P, K, Organic Carbon, pH) mapped at state scale.</w:t>
      </w:r>
    </w:p>
    <w:p>
      <w:pPr>
        <w:spacing w:after="60"/>
        <w:ind w:left="360"/>
      </w:pPr>
      <w:r>
        <w:rPr>
          <w:b/>
        </w:rPr>
        <w:t xml:space="preserve">• Sentinel-2 Spectral Metrics (sentinel2_features.csv): </w:t>
      </w:r>
      <w:r>
        <w:t>Harmonized band statistics (Blue, Green, Red, NIR, EVI, NDVI, NDWI: mean, min, max, stdDev).</w:t>
      </w:r>
    </w:p>
    <w:p>
      <w:pPr>
        <w:spacing w:after="60"/>
        <w:ind w:left="360"/>
      </w:pPr>
      <w:r>
        <w:rPr>
          <w:b/>
        </w:rPr>
        <w:t xml:space="preserve">• Satellite Raster Tiles (datasets/test_images/): </w:t>
      </w:r>
      <w:r>
        <w:t>Paired 96x96 PNG tiles containing natural RGB imagery and rendered NDVI heatmaps spanning 1997–2020.</w:t>
      </w:r>
    </w:p>
    <w:p>
      <w:pPr>
        <w:keepNext/>
        <w:spacing w:before="240" w:after="80"/>
      </w:pPr>
      <w:r>
        <w:rPr>
          <w:rFonts w:ascii="Arial" w:hAnsi="Arial"/>
          <w:b/>
          <w:color w:val="29466E"/>
          <w:sz w:val="25"/>
        </w:rPr>
        <w:t>3.2 Preprocessing, Leakage Prevention &amp; Feature Engineering</w:t>
      </w:r>
    </w:p>
    <w:p>
      <w:r>
        <w:t>1. Elimination of Target Leakage: Because Yield = Production / Area, retaining Production in the training feature matrix causes artificial 100% predictive accuracy. Production was strictly excluded from training features.</w:t>
        <w:br/>
        <w:t>2. Agronomic Rate Features: Normalized interaction rates were engineered: Fertilizer_per_Area = Fertilizer / Area, and Pesticide_per_Area = Pesticide / Area.</w:t>
        <w:br/>
        <w:t>3. Outlier Filtering: Seven historical anomalies exhibiting yields above 15 tonnes/ha were identified as reporting errors exceeding biological thresholds and removed, leaving 1,774 validated records.</w:t>
        <w:br/>
        <w:t>4. Feature Encoding: One-hot encoding was applied to State, Crop, and Season categorical features, yielding 43 total tabular predictor dimensions.</w:t>
      </w:r>
    </w:p>
    <w:p>
      <w:pPr>
        <w:keepNext/>
        <w:spacing w:before="240" w:after="80"/>
      </w:pPr>
      <w:r>
        <w:rPr>
          <w:rFonts w:ascii="Arial" w:hAnsi="Arial"/>
          <w:b/>
          <w:color w:val="29466E"/>
          <w:sz w:val="25"/>
        </w:rPr>
        <w:t>3.3 Chronological Train / Validation / Test Splitting</w:t>
      </w:r>
    </w:p>
    <w:p>
      <w:r>
        <w:t>To evaluate real-world forecasting robustness, chronological year boundaries were enforced rather than random cross-validation: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120" w:type="dxa"/>
              <w:bottom w:w="120" w:type="dxa"/>
              <w:left w:w="150" w:type="dxa"/>
              <w:right w:w="150" w:type="dxa"/>
            </w:tcMar>
            <w:shd w:fill="1B365D"/>
          </w:tcPr>
          <w:p>
            <w:pPr>
              <w:jc w:val="center"/>
            </w:pPr>
            <w:r>
              <w:rPr>
                <w:b/>
                <w:color w:val="FFFFFF"/>
                <w:sz w:val="19"/>
              </w:rPr>
              <w:t>Partition Set</w:t>
            </w:r>
          </w:p>
        </w:tc>
        <w:tc>
          <w:tcPr>
            <w:tcW w:type="dxa" w:w="2340"/>
            <w:vAlign w:val="center"/>
            <w:tcMar>
              <w:top w:w="120" w:type="dxa"/>
              <w:bottom w:w="120" w:type="dxa"/>
              <w:left w:w="150" w:type="dxa"/>
              <w:right w:w="150" w:type="dxa"/>
            </w:tcMar>
            <w:shd w:fill="1B365D"/>
          </w:tcPr>
          <w:p>
            <w:pPr>
              <w:jc w:val="center"/>
            </w:pPr>
            <w:r>
              <w:rPr>
                <w:b/>
                <w:color w:val="FFFFFF"/>
                <w:sz w:val="19"/>
              </w:rPr>
              <w:t>Year Span</w:t>
            </w:r>
          </w:p>
        </w:tc>
        <w:tc>
          <w:tcPr>
            <w:tcW w:type="dxa" w:w="2340"/>
            <w:vAlign w:val="center"/>
            <w:tcMar>
              <w:top w:w="120" w:type="dxa"/>
              <w:bottom w:w="120" w:type="dxa"/>
              <w:left w:w="150" w:type="dxa"/>
              <w:right w:w="150" w:type="dxa"/>
            </w:tcMar>
            <w:shd w:fill="1B365D"/>
          </w:tcPr>
          <w:p>
            <w:pPr>
              <w:jc w:val="center"/>
            </w:pPr>
            <w:r>
              <w:rPr>
                <w:b/>
                <w:color w:val="FFFFFF"/>
                <w:sz w:val="19"/>
              </w:rPr>
              <w:t>Sample Count</w:t>
            </w:r>
          </w:p>
        </w:tc>
        <w:tc>
          <w:tcPr>
            <w:tcW w:type="dxa" w:w="2340"/>
            <w:vAlign w:val="center"/>
            <w:tcMar>
              <w:top w:w="120" w:type="dxa"/>
              <w:bottom w:w="120" w:type="dxa"/>
              <w:left w:w="150" w:type="dxa"/>
              <w:right w:w="150" w:type="dxa"/>
            </w:tcMar>
            <w:shd w:fill="1B365D"/>
          </w:tcPr>
          <w:p>
            <w:pPr>
              <w:jc w:val="center"/>
            </w:pPr>
            <w:r>
              <w:rPr>
                <w:b/>
                <w:color w:val="FFFFFF"/>
                <w:sz w:val="19"/>
              </w:rPr>
              <w:t>Analytical Role</w:t>
            </w:r>
          </w:p>
        </w:tc>
      </w:tr>
      <w:tr>
        <w:trPr>
          <w:cantSplit/>
        </w:trPr>
        <w:tc>
          <w:tcPr>
            <w:tcW w:type="dxa" w:w="2340"/>
            <w:vAlign w:val="center"/>
            <w:tcMar>
              <w:top w:w="120" w:type="dxa"/>
              <w:bottom w:w="120" w:type="dxa"/>
              <w:left w:w="150" w:type="dxa"/>
              <w:right w:w="150" w:type="dxa"/>
            </w:tcMar>
            <w:shd w:fill="FFFFFF"/>
          </w:tcPr>
          <w:p>
            <w:r>
              <w:rPr>
                <w:sz w:val="19"/>
              </w:rPr>
              <w:t>Training Set</w:t>
            </w:r>
          </w:p>
        </w:tc>
        <w:tc>
          <w:tcPr>
            <w:tcW w:type="dxa" w:w="2340"/>
            <w:vAlign w:val="center"/>
            <w:tcMar>
              <w:top w:w="120" w:type="dxa"/>
              <w:bottom w:w="120" w:type="dxa"/>
              <w:left w:w="150" w:type="dxa"/>
              <w:right w:w="150" w:type="dxa"/>
            </w:tcMar>
            <w:shd w:fill="FFFFFF"/>
          </w:tcPr>
          <w:p>
            <w:r>
              <w:rPr>
                <w:sz w:val="19"/>
              </w:rPr>
              <w:t>1997 – 2016</w:t>
            </w:r>
          </w:p>
        </w:tc>
        <w:tc>
          <w:tcPr>
            <w:tcW w:type="dxa" w:w="2340"/>
            <w:vAlign w:val="center"/>
            <w:tcMar>
              <w:top w:w="120" w:type="dxa"/>
              <w:bottom w:w="120" w:type="dxa"/>
              <w:left w:w="150" w:type="dxa"/>
              <w:right w:w="150" w:type="dxa"/>
            </w:tcMar>
            <w:shd w:fill="FFFFFF"/>
          </w:tcPr>
          <w:p>
            <w:r>
              <w:rPr>
                <w:sz w:val="19"/>
              </w:rPr>
              <w:t>1,556</w:t>
            </w:r>
          </w:p>
        </w:tc>
        <w:tc>
          <w:tcPr>
            <w:tcW w:type="dxa" w:w="2340"/>
            <w:vAlign w:val="center"/>
            <w:tcMar>
              <w:top w:w="120" w:type="dxa"/>
              <w:bottom w:w="120" w:type="dxa"/>
              <w:left w:w="150" w:type="dxa"/>
              <w:right w:w="150" w:type="dxa"/>
            </w:tcMar>
            <w:shd w:fill="FFFFFF"/>
          </w:tcPr>
          <w:p>
            <w:r>
              <w:rPr>
                <w:sz w:val="19"/>
              </w:rPr>
              <w:t>Model fitting &amp; parameter learning</w:t>
            </w:r>
          </w:p>
        </w:tc>
      </w:tr>
      <w:tr>
        <w:trPr>
          <w:cantSplit/>
        </w:trPr>
        <w:tc>
          <w:tcPr>
            <w:tcW w:type="dxa" w:w="2340"/>
            <w:vAlign w:val="center"/>
            <w:tcMar>
              <w:top w:w="120" w:type="dxa"/>
              <w:bottom w:w="120" w:type="dxa"/>
              <w:left w:w="150" w:type="dxa"/>
              <w:right w:w="150" w:type="dxa"/>
            </w:tcMar>
            <w:shd w:fill="F0F4F8"/>
          </w:tcPr>
          <w:p>
            <w:r>
              <w:rPr>
                <w:sz w:val="19"/>
              </w:rPr>
              <w:t>Validation Set</w:t>
            </w:r>
          </w:p>
        </w:tc>
        <w:tc>
          <w:tcPr>
            <w:tcW w:type="dxa" w:w="2340"/>
            <w:vAlign w:val="center"/>
            <w:tcMar>
              <w:top w:w="120" w:type="dxa"/>
              <w:bottom w:w="120" w:type="dxa"/>
              <w:left w:w="150" w:type="dxa"/>
              <w:right w:w="150" w:type="dxa"/>
            </w:tcMar>
            <w:shd w:fill="F0F4F8"/>
          </w:tcPr>
          <w:p>
            <w:r>
              <w:rPr>
                <w:sz w:val="19"/>
              </w:rPr>
              <w:t>2017 – 2018</w:t>
            </w:r>
          </w:p>
        </w:tc>
        <w:tc>
          <w:tcPr>
            <w:tcW w:type="dxa" w:w="2340"/>
            <w:vAlign w:val="center"/>
            <w:tcMar>
              <w:top w:w="120" w:type="dxa"/>
              <w:bottom w:w="120" w:type="dxa"/>
              <w:left w:w="150" w:type="dxa"/>
              <w:right w:w="150" w:type="dxa"/>
            </w:tcMar>
            <w:shd w:fill="F0F4F8"/>
          </w:tcPr>
          <w:p>
            <w:r>
              <w:rPr>
                <w:sz w:val="19"/>
              </w:rPr>
              <w:t>150</w:t>
            </w:r>
          </w:p>
        </w:tc>
        <w:tc>
          <w:tcPr>
            <w:tcW w:type="dxa" w:w="2340"/>
            <w:vAlign w:val="center"/>
            <w:tcMar>
              <w:top w:w="120" w:type="dxa"/>
              <w:bottom w:w="120" w:type="dxa"/>
              <w:left w:w="150" w:type="dxa"/>
              <w:right w:w="150" w:type="dxa"/>
            </w:tcMar>
            <w:shd w:fill="F0F4F8"/>
          </w:tcPr>
          <w:p>
            <w:r>
              <w:rPr>
                <w:sz w:val="19"/>
              </w:rPr>
              <w:t>Hyperparameter tuning &amp; early stopping</w:t>
            </w:r>
          </w:p>
        </w:tc>
      </w:tr>
      <w:tr>
        <w:trPr>
          <w:cantSplit/>
        </w:trPr>
        <w:tc>
          <w:tcPr>
            <w:tcW w:type="dxa" w:w="2340"/>
            <w:vAlign w:val="center"/>
            <w:tcMar>
              <w:top w:w="120" w:type="dxa"/>
              <w:bottom w:w="120" w:type="dxa"/>
              <w:left w:w="150" w:type="dxa"/>
              <w:right w:w="150" w:type="dxa"/>
            </w:tcMar>
            <w:shd w:fill="FFFFFF"/>
          </w:tcPr>
          <w:p>
            <w:r>
              <w:rPr>
                <w:sz w:val="19"/>
              </w:rPr>
              <w:t>Test Set</w:t>
            </w:r>
          </w:p>
        </w:tc>
        <w:tc>
          <w:tcPr>
            <w:tcW w:type="dxa" w:w="2340"/>
            <w:vAlign w:val="center"/>
            <w:tcMar>
              <w:top w:w="120" w:type="dxa"/>
              <w:bottom w:w="120" w:type="dxa"/>
              <w:left w:w="150" w:type="dxa"/>
              <w:right w:w="150" w:type="dxa"/>
            </w:tcMar>
            <w:shd w:fill="FFFFFF"/>
          </w:tcPr>
          <w:p>
            <w:r>
              <w:rPr>
                <w:sz w:val="19"/>
              </w:rPr>
              <w:t>2019 – 2020</w:t>
            </w:r>
          </w:p>
        </w:tc>
        <w:tc>
          <w:tcPr>
            <w:tcW w:type="dxa" w:w="2340"/>
            <w:vAlign w:val="center"/>
            <w:tcMar>
              <w:top w:w="120" w:type="dxa"/>
              <w:bottom w:w="120" w:type="dxa"/>
              <w:left w:w="150" w:type="dxa"/>
              <w:right w:w="150" w:type="dxa"/>
            </w:tcMar>
            <w:shd w:fill="FFFFFF"/>
          </w:tcPr>
          <w:p>
            <w:r>
              <w:rPr>
                <w:sz w:val="19"/>
              </w:rPr>
              <w:t>68</w:t>
            </w:r>
          </w:p>
        </w:tc>
        <w:tc>
          <w:tcPr>
            <w:tcW w:type="dxa" w:w="2340"/>
            <w:vAlign w:val="center"/>
            <w:tcMar>
              <w:top w:w="120" w:type="dxa"/>
              <w:bottom w:w="120" w:type="dxa"/>
              <w:left w:w="150" w:type="dxa"/>
              <w:right w:w="150" w:type="dxa"/>
            </w:tcMar>
            <w:shd w:fill="FFFFFF"/>
          </w:tcPr>
          <w:p>
            <w:r>
              <w:rPr>
                <w:sz w:val="19"/>
              </w:rPr>
              <w:t>Unbiased out-of-sample forward evaluation</w:t>
            </w:r>
          </w:p>
        </w:tc>
      </w:tr>
    </w:tbl>
    <w:p>
      <w:pPr>
        <w:keepNext/>
        <w:spacing w:before="320" w:after="120"/>
      </w:pPr>
      <w:r>
        <w:rPr>
          <w:rFonts w:ascii="Arial" w:hAnsi="Arial"/>
          <w:b/>
          <w:color w:val="1B365D"/>
          <w:sz w:val="30"/>
        </w:rPr>
        <w:t>4. Experimental Setup &amp; Baseline Results</w:t>
      </w:r>
    </w:p>
    <w:p>
      <w:pPr>
        <w:keepNext/>
        <w:spacing w:before="240" w:after="80"/>
      </w:pPr>
      <w:r>
        <w:rPr>
          <w:rFonts w:ascii="Arial" w:hAnsi="Arial"/>
          <w:b/>
          <w:color w:val="29466E"/>
          <w:sz w:val="25"/>
        </w:rPr>
        <w:t>4.1 Evaluation Metrics</w:t>
      </w:r>
    </w:p>
    <w:p>
      <w:r>
        <w:t>Model performance is quantified using Root Mean Squared Error (RMSE), Mean Absolute Error (MAE), and Coefficient of Determination (R²).</w:t>
      </w:r>
    </w:p>
    <w:p>
      <w:pPr>
        <w:keepNext/>
        <w:spacing w:before="240" w:after="80"/>
      </w:pPr>
      <w:r>
        <w:rPr>
          <w:rFonts w:ascii="Arial" w:hAnsi="Arial"/>
          <w:b/>
          <w:color w:val="29466E"/>
          <w:sz w:val="25"/>
        </w:rPr>
        <w:t>4.2 Tabular Regression Benchmark</w:t>
      </w:r>
    </w:p>
    <w:p>
      <w:r>
        <w:t>Four tabular algorithms were trained and evaluated on the chronological split: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120" w:type="dxa"/>
              <w:bottom w:w="120" w:type="dxa"/>
              <w:left w:w="150" w:type="dxa"/>
              <w:right w:w="150" w:type="dxa"/>
            </w:tcMar>
            <w:shd w:fill="1B365D"/>
          </w:tcPr>
          <w:p>
            <w:pPr>
              <w:jc w:val="center"/>
            </w:pPr>
            <w:r>
              <w:rPr>
                <w:b/>
                <w:color w:val="FFFFFF"/>
                <w:sz w:val="19"/>
              </w:rPr>
              <w:t>Model</w:t>
            </w:r>
          </w:p>
        </w:tc>
        <w:tc>
          <w:tcPr>
            <w:tcW w:type="dxa" w:w="1337"/>
            <w:vAlign w:val="center"/>
            <w:tcMar>
              <w:top w:w="120" w:type="dxa"/>
              <w:bottom w:w="120" w:type="dxa"/>
              <w:left w:w="150" w:type="dxa"/>
              <w:right w:w="150" w:type="dxa"/>
            </w:tcMar>
            <w:shd w:fill="1B365D"/>
          </w:tcPr>
          <w:p>
            <w:pPr>
              <w:jc w:val="center"/>
            </w:pPr>
            <w:r>
              <w:rPr>
                <w:b/>
                <w:color w:val="FFFFFF"/>
                <w:sz w:val="19"/>
              </w:rPr>
              <w:t>Val RMSE</w:t>
            </w:r>
          </w:p>
        </w:tc>
        <w:tc>
          <w:tcPr>
            <w:tcW w:type="dxa" w:w="1337"/>
            <w:vAlign w:val="center"/>
            <w:tcMar>
              <w:top w:w="120" w:type="dxa"/>
              <w:bottom w:w="120" w:type="dxa"/>
              <w:left w:w="150" w:type="dxa"/>
              <w:right w:w="150" w:type="dxa"/>
            </w:tcMar>
            <w:shd w:fill="1B365D"/>
          </w:tcPr>
          <w:p>
            <w:pPr>
              <w:jc w:val="center"/>
            </w:pPr>
            <w:r>
              <w:rPr>
                <w:b/>
                <w:color w:val="FFFFFF"/>
                <w:sz w:val="19"/>
              </w:rPr>
              <w:t>Val MAE</w:t>
            </w:r>
          </w:p>
        </w:tc>
        <w:tc>
          <w:tcPr>
            <w:tcW w:type="dxa" w:w="1337"/>
            <w:vAlign w:val="center"/>
            <w:tcMar>
              <w:top w:w="120" w:type="dxa"/>
              <w:bottom w:w="120" w:type="dxa"/>
              <w:left w:w="150" w:type="dxa"/>
              <w:right w:w="150" w:type="dxa"/>
            </w:tcMar>
            <w:shd w:fill="1B365D"/>
          </w:tcPr>
          <w:p>
            <w:pPr>
              <w:jc w:val="center"/>
            </w:pPr>
            <w:r>
              <w:rPr>
                <w:b/>
                <w:color w:val="FFFFFF"/>
                <w:sz w:val="19"/>
              </w:rPr>
              <w:t>Val R²</w:t>
            </w:r>
          </w:p>
        </w:tc>
        <w:tc>
          <w:tcPr>
            <w:tcW w:type="dxa" w:w="1337"/>
            <w:vAlign w:val="center"/>
            <w:tcMar>
              <w:top w:w="120" w:type="dxa"/>
              <w:bottom w:w="120" w:type="dxa"/>
              <w:left w:w="150" w:type="dxa"/>
              <w:right w:w="150" w:type="dxa"/>
            </w:tcMar>
            <w:shd w:fill="1B365D"/>
          </w:tcPr>
          <w:p>
            <w:pPr>
              <w:jc w:val="center"/>
            </w:pPr>
            <w:r>
              <w:rPr>
                <w:b/>
                <w:color w:val="FFFFFF"/>
                <w:sz w:val="19"/>
              </w:rPr>
              <w:t>Test RMSE</w:t>
            </w:r>
          </w:p>
        </w:tc>
        <w:tc>
          <w:tcPr>
            <w:tcW w:type="dxa" w:w="1337"/>
            <w:vAlign w:val="center"/>
            <w:tcMar>
              <w:top w:w="120" w:type="dxa"/>
              <w:bottom w:w="120" w:type="dxa"/>
              <w:left w:w="150" w:type="dxa"/>
              <w:right w:w="150" w:type="dxa"/>
            </w:tcMar>
            <w:shd w:fill="1B365D"/>
          </w:tcPr>
          <w:p>
            <w:pPr>
              <w:jc w:val="center"/>
            </w:pPr>
            <w:r>
              <w:rPr>
                <w:b/>
                <w:color w:val="FFFFFF"/>
                <w:sz w:val="19"/>
              </w:rPr>
              <w:t>Test MAE</w:t>
            </w:r>
          </w:p>
        </w:tc>
        <w:tc>
          <w:tcPr>
            <w:tcW w:type="dxa" w:w="1337"/>
            <w:vAlign w:val="center"/>
            <w:tcMar>
              <w:top w:w="120" w:type="dxa"/>
              <w:bottom w:w="120" w:type="dxa"/>
              <w:left w:w="150" w:type="dxa"/>
              <w:right w:w="150" w:type="dxa"/>
            </w:tcMar>
            <w:shd w:fill="1B365D"/>
          </w:tcPr>
          <w:p>
            <w:pPr>
              <w:jc w:val="center"/>
            </w:pPr>
            <w:r>
              <w:rPr>
                <w:b/>
                <w:color w:val="FFFFFF"/>
                <w:sz w:val="19"/>
              </w:rPr>
              <w:t>Test R²</w:t>
            </w:r>
          </w:p>
        </w:tc>
      </w:tr>
      <w:tr>
        <w:trPr>
          <w:cantSplit/>
        </w:trPr>
        <w:tc>
          <w:tcPr>
            <w:tcW w:type="dxa" w:w="1337"/>
            <w:vAlign w:val="center"/>
            <w:tcMar>
              <w:top w:w="120" w:type="dxa"/>
              <w:bottom w:w="120" w:type="dxa"/>
              <w:left w:w="150" w:type="dxa"/>
              <w:right w:w="150" w:type="dxa"/>
            </w:tcMar>
            <w:shd w:fill="FFFFFF"/>
          </w:tcPr>
          <w:p>
            <w:r>
              <w:rPr>
                <w:sz w:val="19"/>
              </w:rPr>
              <w:t>Dummy Mean Baseline</w:t>
            </w:r>
          </w:p>
        </w:tc>
        <w:tc>
          <w:tcPr>
            <w:tcW w:type="dxa" w:w="1337"/>
            <w:vAlign w:val="center"/>
            <w:tcMar>
              <w:top w:w="120" w:type="dxa"/>
              <w:bottom w:w="120" w:type="dxa"/>
              <w:left w:w="150" w:type="dxa"/>
              <w:right w:w="150" w:type="dxa"/>
            </w:tcMar>
            <w:shd w:fill="FFFFFF"/>
          </w:tcPr>
          <w:p>
            <w:r>
              <w:rPr>
                <w:sz w:val="19"/>
              </w:rPr>
              <w:t>1.4777</w:t>
            </w:r>
          </w:p>
        </w:tc>
        <w:tc>
          <w:tcPr>
            <w:tcW w:type="dxa" w:w="1337"/>
            <w:vAlign w:val="center"/>
            <w:tcMar>
              <w:top w:w="120" w:type="dxa"/>
              <w:bottom w:w="120" w:type="dxa"/>
              <w:left w:w="150" w:type="dxa"/>
              <w:right w:w="150" w:type="dxa"/>
            </w:tcMar>
            <w:shd w:fill="FFFFFF"/>
          </w:tcPr>
          <w:p>
            <w:r>
              <w:rPr>
                <w:sz w:val="19"/>
              </w:rPr>
              <w:t>0.9144</w:t>
            </w:r>
          </w:p>
        </w:tc>
        <w:tc>
          <w:tcPr>
            <w:tcW w:type="dxa" w:w="1337"/>
            <w:vAlign w:val="center"/>
            <w:tcMar>
              <w:top w:w="120" w:type="dxa"/>
              <w:bottom w:w="120" w:type="dxa"/>
              <w:left w:w="150" w:type="dxa"/>
              <w:right w:w="150" w:type="dxa"/>
            </w:tcMar>
            <w:shd w:fill="FFFFFF"/>
          </w:tcPr>
          <w:p>
            <w:r>
              <w:rPr>
                <w:sz w:val="19"/>
              </w:rPr>
              <w:t>-0.1749</w:t>
            </w:r>
          </w:p>
        </w:tc>
        <w:tc>
          <w:tcPr>
            <w:tcW w:type="dxa" w:w="1337"/>
            <w:vAlign w:val="center"/>
            <w:tcMar>
              <w:top w:w="120" w:type="dxa"/>
              <w:bottom w:w="120" w:type="dxa"/>
              <w:left w:w="150" w:type="dxa"/>
              <w:right w:w="150" w:type="dxa"/>
            </w:tcMar>
            <w:shd w:fill="FFFFFF"/>
          </w:tcPr>
          <w:p>
            <w:r>
              <w:rPr>
                <w:sz w:val="19"/>
              </w:rPr>
              <w:t>1.6198</w:t>
            </w:r>
          </w:p>
        </w:tc>
        <w:tc>
          <w:tcPr>
            <w:tcW w:type="dxa" w:w="1337"/>
            <w:vAlign w:val="center"/>
            <w:tcMar>
              <w:top w:w="120" w:type="dxa"/>
              <w:bottom w:w="120" w:type="dxa"/>
              <w:left w:w="150" w:type="dxa"/>
              <w:right w:w="150" w:type="dxa"/>
            </w:tcMar>
            <w:shd w:fill="FFFFFF"/>
          </w:tcPr>
          <w:p>
            <w:r>
              <w:rPr>
                <w:sz w:val="19"/>
              </w:rPr>
              <w:t>1.0284</w:t>
            </w:r>
          </w:p>
        </w:tc>
        <w:tc>
          <w:tcPr>
            <w:tcW w:type="dxa" w:w="1337"/>
            <w:vAlign w:val="center"/>
            <w:tcMar>
              <w:top w:w="120" w:type="dxa"/>
              <w:bottom w:w="120" w:type="dxa"/>
              <w:left w:w="150" w:type="dxa"/>
              <w:right w:w="150" w:type="dxa"/>
            </w:tcMar>
            <w:shd w:fill="FFFFFF"/>
          </w:tcPr>
          <w:p>
            <w:r>
              <w:rPr>
                <w:sz w:val="19"/>
              </w:rPr>
              <w:t>-0.2520</w:t>
            </w:r>
          </w:p>
        </w:tc>
      </w:tr>
      <w:tr>
        <w:trPr>
          <w:cantSplit/>
        </w:trPr>
        <w:tc>
          <w:tcPr>
            <w:tcW w:type="dxa" w:w="1337"/>
            <w:vAlign w:val="center"/>
            <w:tcMar>
              <w:top w:w="120" w:type="dxa"/>
              <w:bottom w:w="120" w:type="dxa"/>
              <w:left w:w="150" w:type="dxa"/>
              <w:right w:w="150" w:type="dxa"/>
            </w:tcMar>
            <w:shd w:fill="F0F4F8"/>
          </w:tcPr>
          <w:p>
            <w:r>
              <w:rPr>
                <w:sz w:val="19"/>
              </w:rPr>
              <w:t>Random Forest Regressor</w:t>
            </w:r>
          </w:p>
        </w:tc>
        <w:tc>
          <w:tcPr>
            <w:tcW w:type="dxa" w:w="1337"/>
            <w:vAlign w:val="center"/>
            <w:tcMar>
              <w:top w:w="120" w:type="dxa"/>
              <w:bottom w:w="120" w:type="dxa"/>
              <w:left w:w="150" w:type="dxa"/>
              <w:right w:w="150" w:type="dxa"/>
            </w:tcMar>
            <w:shd w:fill="F0F4F8"/>
          </w:tcPr>
          <w:p>
            <w:r>
              <w:rPr>
                <w:sz w:val="19"/>
              </w:rPr>
              <w:t>1.0031</w:t>
            </w:r>
          </w:p>
        </w:tc>
        <w:tc>
          <w:tcPr>
            <w:tcW w:type="dxa" w:w="1337"/>
            <w:vAlign w:val="center"/>
            <w:tcMar>
              <w:top w:w="120" w:type="dxa"/>
              <w:bottom w:w="120" w:type="dxa"/>
              <w:left w:w="150" w:type="dxa"/>
              <w:right w:w="150" w:type="dxa"/>
            </w:tcMar>
            <w:shd w:fill="F0F4F8"/>
          </w:tcPr>
          <w:p>
            <w:r>
              <w:rPr>
                <w:sz w:val="19"/>
              </w:rPr>
              <w:t>0.5878</w:t>
            </w:r>
          </w:p>
        </w:tc>
        <w:tc>
          <w:tcPr>
            <w:tcW w:type="dxa" w:w="1337"/>
            <w:vAlign w:val="center"/>
            <w:tcMar>
              <w:top w:w="120" w:type="dxa"/>
              <w:bottom w:w="120" w:type="dxa"/>
              <w:left w:w="150" w:type="dxa"/>
              <w:right w:w="150" w:type="dxa"/>
            </w:tcMar>
            <w:shd w:fill="F0F4F8"/>
          </w:tcPr>
          <w:p>
            <w:r>
              <w:rPr>
                <w:sz w:val="19"/>
              </w:rPr>
              <w:t>0.4586</w:t>
            </w:r>
          </w:p>
        </w:tc>
        <w:tc>
          <w:tcPr>
            <w:tcW w:type="dxa" w:w="1337"/>
            <w:vAlign w:val="center"/>
            <w:tcMar>
              <w:top w:w="120" w:type="dxa"/>
              <w:bottom w:w="120" w:type="dxa"/>
              <w:left w:w="150" w:type="dxa"/>
              <w:right w:w="150" w:type="dxa"/>
            </w:tcMar>
            <w:shd w:fill="F0F4F8"/>
          </w:tcPr>
          <w:p>
            <w:r>
              <w:rPr>
                <w:sz w:val="19"/>
              </w:rPr>
              <w:t>1.0719</w:t>
            </w:r>
          </w:p>
        </w:tc>
        <w:tc>
          <w:tcPr>
            <w:tcW w:type="dxa" w:w="1337"/>
            <w:vAlign w:val="center"/>
            <w:tcMar>
              <w:top w:w="120" w:type="dxa"/>
              <w:bottom w:w="120" w:type="dxa"/>
              <w:left w:w="150" w:type="dxa"/>
              <w:right w:w="150" w:type="dxa"/>
            </w:tcMar>
            <w:shd w:fill="F0F4F8"/>
          </w:tcPr>
          <w:p>
            <w:r>
              <w:rPr>
                <w:sz w:val="19"/>
              </w:rPr>
              <w:t>0.6418</w:t>
            </w:r>
          </w:p>
        </w:tc>
        <w:tc>
          <w:tcPr>
            <w:tcW w:type="dxa" w:w="1337"/>
            <w:vAlign w:val="center"/>
            <w:tcMar>
              <w:top w:w="120" w:type="dxa"/>
              <w:bottom w:w="120" w:type="dxa"/>
              <w:left w:w="150" w:type="dxa"/>
              <w:right w:w="150" w:type="dxa"/>
            </w:tcMar>
            <w:shd w:fill="F0F4F8"/>
          </w:tcPr>
          <w:p>
            <w:r>
              <w:rPr>
                <w:sz w:val="19"/>
              </w:rPr>
              <w:t>0.4517</w:t>
            </w:r>
          </w:p>
        </w:tc>
      </w:tr>
      <w:tr>
        <w:trPr>
          <w:cantSplit/>
        </w:trPr>
        <w:tc>
          <w:tcPr>
            <w:tcW w:type="dxa" w:w="1337"/>
            <w:vAlign w:val="center"/>
            <w:tcMar>
              <w:top w:w="120" w:type="dxa"/>
              <w:bottom w:w="120" w:type="dxa"/>
              <w:left w:w="150" w:type="dxa"/>
              <w:right w:w="150" w:type="dxa"/>
            </w:tcMar>
            <w:shd w:fill="FFFFFF"/>
          </w:tcPr>
          <w:p>
            <w:r>
              <w:rPr>
                <w:sz w:val="19"/>
              </w:rPr>
              <w:t>HistGradientBoosting</w:t>
            </w:r>
          </w:p>
        </w:tc>
        <w:tc>
          <w:tcPr>
            <w:tcW w:type="dxa" w:w="1337"/>
            <w:vAlign w:val="center"/>
            <w:tcMar>
              <w:top w:w="120" w:type="dxa"/>
              <w:bottom w:w="120" w:type="dxa"/>
              <w:left w:w="150" w:type="dxa"/>
              <w:right w:w="150" w:type="dxa"/>
            </w:tcMar>
            <w:shd w:fill="FFFFFF"/>
          </w:tcPr>
          <w:p>
            <w:r>
              <w:rPr>
                <w:sz w:val="19"/>
              </w:rPr>
              <w:t>0.7787</w:t>
            </w:r>
          </w:p>
        </w:tc>
        <w:tc>
          <w:tcPr>
            <w:tcW w:type="dxa" w:w="1337"/>
            <w:vAlign w:val="center"/>
            <w:tcMar>
              <w:top w:w="120" w:type="dxa"/>
              <w:bottom w:w="120" w:type="dxa"/>
              <w:left w:w="150" w:type="dxa"/>
              <w:right w:w="150" w:type="dxa"/>
            </w:tcMar>
            <w:shd w:fill="FFFFFF"/>
          </w:tcPr>
          <w:p>
            <w:r>
              <w:rPr>
                <w:sz w:val="19"/>
              </w:rPr>
              <w:t>0.4624</w:t>
            </w:r>
          </w:p>
        </w:tc>
        <w:tc>
          <w:tcPr>
            <w:tcW w:type="dxa" w:w="1337"/>
            <w:vAlign w:val="center"/>
            <w:tcMar>
              <w:top w:w="120" w:type="dxa"/>
              <w:bottom w:w="120" w:type="dxa"/>
              <w:left w:w="150" w:type="dxa"/>
              <w:right w:w="150" w:type="dxa"/>
            </w:tcMar>
            <w:shd w:fill="FFFFFF"/>
          </w:tcPr>
          <w:p>
            <w:r>
              <w:rPr>
                <w:sz w:val="19"/>
              </w:rPr>
              <w:t>0.6738</w:t>
            </w:r>
          </w:p>
        </w:tc>
        <w:tc>
          <w:tcPr>
            <w:tcW w:type="dxa" w:w="1337"/>
            <w:vAlign w:val="center"/>
            <w:tcMar>
              <w:top w:w="120" w:type="dxa"/>
              <w:bottom w:w="120" w:type="dxa"/>
              <w:left w:w="150" w:type="dxa"/>
              <w:right w:w="150" w:type="dxa"/>
            </w:tcMar>
            <w:shd w:fill="FFFFFF"/>
          </w:tcPr>
          <w:p>
            <w:r>
              <w:rPr>
                <w:sz w:val="19"/>
              </w:rPr>
              <w:t>0.8342</w:t>
            </w:r>
          </w:p>
        </w:tc>
        <w:tc>
          <w:tcPr>
            <w:tcW w:type="dxa" w:w="1337"/>
            <w:vAlign w:val="center"/>
            <w:tcMar>
              <w:top w:w="120" w:type="dxa"/>
              <w:bottom w:w="120" w:type="dxa"/>
              <w:left w:w="150" w:type="dxa"/>
              <w:right w:w="150" w:type="dxa"/>
            </w:tcMar>
            <w:shd w:fill="FFFFFF"/>
          </w:tcPr>
          <w:p>
            <w:r>
              <w:rPr>
                <w:sz w:val="19"/>
              </w:rPr>
              <w:t>0.5258</w:t>
            </w:r>
          </w:p>
        </w:tc>
        <w:tc>
          <w:tcPr>
            <w:tcW w:type="dxa" w:w="1337"/>
            <w:vAlign w:val="center"/>
            <w:tcMar>
              <w:top w:w="120" w:type="dxa"/>
              <w:bottom w:w="120" w:type="dxa"/>
              <w:left w:w="150" w:type="dxa"/>
              <w:right w:w="150" w:type="dxa"/>
            </w:tcMar>
            <w:shd w:fill="FFFFFF"/>
          </w:tcPr>
          <w:p>
            <w:r>
              <w:rPr>
                <w:sz w:val="19"/>
              </w:rPr>
              <w:t>0.6679</w:t>
            </w:r>
          </w:p>
        </w:tc>
      </w:tr>
      <w:tr>
        <w:trPr>
          <w:cantSplit/>
        </w:trPr>
        <w:tc>
          <w:tcPr>
            <w:tcW w:type="dxa" w:w="1337"/>
            <w:vAlign w:val="center"/>
            <w:tcMar>
              <w:top w:w="120" w:type="dxa"/>
              <w:bottom w:w="120" w:type="dxa"/>
              <w:left w:w="150" w:type="dxa"/>
              <w:right w:w="150" w:type="dxa"/>
            </w:tcMar>
            <w:shd w:fill="F0F4F8"/>
          </w:tcPr>
          <w:p>
            <w:r>
              <w:rPr>
                <w:sz w:val="19"/>
              </w:rPr>
              <w:t>Gradient Boosting (Best)</w:t>
            </w:r>
          </w:p>
        </w:tc>
        <w:tc>
          <w:tcPr>
            <w:tcW w:type="dxa" w:w="1337"/>
            <w:vAlign w:val="center"/>
            <w:tcMar>
              <w:top w:w="120" w:type="dxa"/>
              <w:bottom w:w="120" w:type="dxa"/>
              <w:left w:w="150" w:type="dxa"/>
              <w:right w:w="150" w:type="dxa"/>
            </w:tcMar>
            <w:shd w:fill="F0F4F8"/>
          </w:tcPr>
          <w:p>
            <w:r>
              <w:rPr>
                <w:sz w:val="19"/>
              </w:rPr>
              <w:t>0.7316</w:t>
            </w:r>
          </w:p>
        </w:tc>
        <w:tc>
          <w:tcPr>
            <w:tcW w:type="dxa" w:w="1337"/>
            <w:vAlign w:val="center"/>
            <w:tcMar>
              <w:top w:w="120" w:type="dxa"/>
              <w:bottom w:w="120" w:type="dxa"/>
              <w:left w:w="150" w:type="dxa"/>
              <w:right w:w="150" w:type="dxa"/>
            </w:tcMar>
            <w:shd w:fill="F0F4F8"/>
          </w:tcPr>
          <w:p>
            <w:r>
              <w:rPr>
                <w:sz w:val="19"/>
              </w:rPr>
              <w:t>0.4658</w:t>
            </w:r>
          </w:p>
        </w:tc>
        <w:tc>
          <w:tcPr>
            <w:tcW w:type="dxa" w:w="1337"/>
            <w:vAlign w:val="center"/>
            <w:tcMar>
              <w:top w:w="120" w:type="dxa"/>
              <w:bottom w:w="120" w:type="dxa"/>
              <w:left w:w="150" w:type="dxa"/>
              <w:right w:w="150" w:type="dxa"/>
            </w:tcMar>
            <w:shd w:fill="F0F4F8"/>
          </w:tcPr>
          <w:p>
            <w:r>
              <w:rPr>
                <w:sz w:val="19"/>
              </w:rPr>
              <w:t>0.7120</w:t>
            </w:r>
          </w:p>
        </w:tc>
        <w:tc>
          <w:tcPr>
            <w:tcW w:type="dxa" w:w="1337"/>
            <w:vAlign w:val="center"/>
            <w:tcMar>
              <w:top w:w="120" w:type="dxa"/>
              <w:bottom w:w="120" w:type="dxa"/>
              <w:left w:w="150" w:type="dxa"/>
              <w:right w:w="150" w:type="dxa"/>
            </w:tcMar>
            <w:shd w:fill="F0F4F8"/>
          </w:tcPr>
          <w:p>
            <w:r>
              <w:rPr>
                <w:sz w:val="19"/>
              </w:rPr>
              <w:t>0.8035</w:t>
            </w:r>
          </w:p>
        </w:tc>
        <w:tc>
          <w:tcPr>
            <w:tcW w:type="dxa" w:w="1337"/>
            <w:vAlign w:val="center"/>
            <w:tcMar>
              <w:top w:w="120" w:type="dxa"/>
              <w:bottom w:w="120" w:type="dxa"/>
              <w:left w:w="150" w:type="dxa"/>
              <w:right w:w="150" w:type="dxa"/>
            </w:tcMar>
            <w:shd w:fill="F0F4F8"/>
          </w:tcPr>
          <w:p>
            <w:r>
              <w:rPr>
                <w:sz w:val="19"/>
              </w:rPr>
              <w:t>0.5104</w:t>
            </w:r>
          </w:p>
        </w:tc>
        <w:tc>
          <w:tcPr>
            <w:tcW w:type="dxa" w:w="1337"/>
            <w:vAlign w:val="center"/>
            <w:tcMar>
              <w:top w:w="120" w:type="dxa"/>
              <w:bottom w:w="120" w:type="dxa"/>
              <w:left w:w="150" w:type="dxa"/>
              <w:right w:w="150" w:type="dxa"/>
            </w:tcMar>
            <w:shd w:fill="F0F4F8"/>
          </w:tcPr>
          <w:p>
            <w:r>
              <w:rPr>
                <w:sz w:val="19"/>
              </w:rPr>
              <w:t>0.6919</w:t>
            </w:r>
          </w:p>
        </w:tc>
      </w:tr>
    </w:tbl>
    <w:p>
      <w:pPr>
        <w:spacing w:after="80"/>
      </w:pPr>
    </w:p>
    <w:p>
      <w:pPr>
        <w:keepNext/>
        <w:spacing w:before="240" w:after="80"/>
      </w:pPr>
      <w:r>
        <w:rPr>
          <w:rFonts w:ascii="Arial" w:hAnsi="Arial"/>
          <w:b/>
          <w:color w:val="29466E"/>
          <w:sz w:val="25"/>
        </w:rPr>
        <w:t>4.3 Crop-Wise Evaluation (Gradient Boosting)</w:t>
      </w:r>
    </w:p>
    <w:p>
      <w:r>
        <w:t>Evaluating the best Gradient Boosting Regressor across distinct crop classes on the test set demonstrates well-balanced generalization: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20" w:type="dxa"/>
              <w:bottom w:w="120" w:type="dxa"/>
              <w:left w:w="150" w:type="dxa"/>
              <w:right w:w="150" w:type="dxa"/>
            </w:tcMar>
            <w:shd w:fill="1B365D"/>
          </w:tcPr>
          <w:p>
            <w:pPr>
              <w:jc w:val="center"/>
            </w:pPr>
            <w:r>
              <w:rPr>
                <w:b/>
                <w:color w:val="FFFFFF"/>
                <w:sz w:val="19"/>
              </w:rPr>
              <w:t>Crop Type</w:t>
            </w:r>
          </w:p>
        </w:tc>
        <w:tc>
          <w:tcPr>
            <w:tcW w:type="dxa" w:w="1872"/>
            <w:vAlign w:val="center"/>
            <w:tcMar>
              <w:top w:w="120" w:type="dxa"/>
              <w:bottom w:w="120" w:type="dxa"/>
              <w:left w:w="150" w:type="dxa"/>
              <w:right w:w="150" w:type="dxa"/>
            </w:tcMar>
            <w:shd w:fill="1B365D"/>
          </w:tcPr>
          <w:p>
            <w:pPr>
              <w:jc w:val="center"/>
            </w:pPr>
            <w:r>
              <w:rPr>
                <w:b/>
                <w:color w:val="FFFFFF"/>
                <w:sz w:val="19"/>
              </w:rPr>
              <w:t>Test Sample Count</w:t>
            </w:r>
          </w:p>
        </w:tc>
        <w:tc>
          <w:tcPr>
            <w:tcW w:type="dxa" w:w="1872"/>
            <w:vAlign w:val="center"/>
            <w:tcMar>
              <w:top w:w="120" w:type="dxa"/>
              <w:bottom w:w="120" w:type="dxa"/>
              <w:left w:w="150" w:type="dxa"/>
              <w:right w:w="150" w:type="dxa"/>
            </w:tcMar>
            <w:shd w:fill="1B365D"/>
          </w:tcPr>
          <w:p>
            <w:pPr>
              <w:jc w:val="center"/>
            </w:pPr>
            <w:r>
              <w:rPr>
                <w:b/>
                <w:color w:val="FFFFFF"/>
                <w:sz w:val="19"/>
              </w:rPr>
              <w:t>Test RMSE (t/ha)</w:t>
            </w:r>
          </w:p>
        </w:tc>
        <w:tc>
          <w:tcPr>
            <w:tcW w:type="dxa" w:w="1872"/>
            <w:vAlign w:val="center"/>
            <w:tcMar>
              <w:top w:w="120" w:type="dxa"/>
              <w:bottom w:w="120" w:type="dxa"/>
              <w:left w:w="150" w:type="dxa"/>
              <w:right w:w="150" w:type="dxa"/>
            </w:tcMar>
            <w:shd w:fill="1B365D"/>
          </w:tcPr>
          <w:p>
            <w:pPr>
              <w:jc w:val="center"/>
            </w:pPr>
            <w:r>
              <w:rPr>
                <w:b/>
                <w:color w:val="FFFFFF"/>
                <w:sz w:val="19"/>
              </w:rPr>
              <w:t>Test MAE (t/ha)</w:t>
            </w:r>
          </w:p>
        </w:tc>
        <w:tc>
          <w:tcPr>
            <w:tcW w:type="dxa" w:w="1872"/>
            <w:vAlign w:val="center"/>
            <w:tcMar>
              <w:top w:w="120" w:type="dxa"/>
              <w:bottom w:w="120" w:type="dxa"/>
              <w:left w:w="150" w:type="dxa"/>
              <w:right w:w="150" w:type="dxa"/>
            </w:tcMar>
            <w:shd w:fill="1B365D"/>
          </w:tcPr>
          <w:p>
            <w:pPr>
              <w:jc w:val="center"/>
            </w:pPr>
            <w:r>
              <w:rPr>
                <w:b/>
                <w:color w:val="FFFFFF"/>
                <w:sz w:val="19"/>
              </w:rPr>
              <w:t>Test R²</w:t>
            </w:r>
          </w:p>
        </w:tc>
      </w:tr>
      <w:tr>
        <w:trPr>
          <w:cantSplit/>
        </w:trPr>
        <w:tc>
          <w:tcPr>
            <w:tcW w:type="dxa" w:w="1872"/>
            <w:vAlign w:val="center"/>
            <w:tcMar>
              <w:top w:w="120" w:type="dxa"/>
              <w:bottom w:w="120" w:type="dxa"/>
              <w:left w:w="150" w:type="dxa"/>
              <w:right w:w="150" w:type="dxa"/>
            </w:tcMar>
            <w:shd w:fill="FFFFFF"/>
          </w:tcPr>
          <w:p>
            <w:r>
              <w:rPr>
                <w:sz w:val="19"/>
              </w:rPr>
              <w:t>Rice (Oryza sativa)</w:t>
            </w:r>
          </w:p>
        </w:tc>
        <w:tc>
          <w:tcPr>
            <w:tcW w:type="dxa" w:w="1872"/>
            <w:vAlign w:val="center"/>
            <w:tcMar>
              <w:top w:w="120" w:type="dxa"/>
              <w:bottom w:w="120" w:type="dxa"/>
              <w:left w:w="150" w:type="dxa"/>
              <w:right w:w="150" w:type="dxa"/>
            </w:tcMar>
            <w:shd w:fill="FFFFFF"/>
          </w:tcPr>
          <w:p>
            <w:r>
              <w:rPr>
                <w:sz w:val="19"/>
              </w:rPr>
              <w:t>31</w:t>
            </w:r>
          </w:p>
        </w:tc>
        <w:tc>
          <w:tcPr>
            <w:tcW w:type="dxa" w:w="1872"/>
            <w:vAlign w:val="center"/>
            <w:tcMar>
              <w:top w:w="120" w:type="dxa"/>
              <w:bottom w:w="120" w:type="dxa"/>
              <w:left w:w="150" w:type="dxa"/>
              <w:right w:w="150" w:type="dxa"/>
            </w:tcMar>
            <w:shd w:fill="FFFFFF"/>
          </w:tcPr>
          <w:p>
            <w:r>
              <w:rPr>
                <w:sz w:val="19"/>
              </w:rPr>
              <w:t>0.4131</w:t>
            </w:r>
          </w:p>
        </w:tc>
        <w:tc>
          <w:tcPr>
            <w:tcW w:type="dxa" w:w="1872"/>
            <w:vAlign w:val="center"/>
            <w:tcMar>
              <w:top w:w="120" w:type="dxa"/>
              <w:bottom w:w="120" w:type="dxa"/>
              <w:left w:w="150" w:type="dxa"/>
              <w:right w:w="150" w:type="dxa"/>
            </w:tcMar>
            <w:shd w:fill="FFFFFF"/>
          </w:tcPr>
          <w:p>
            <w:r>
              <w:rPr>
                <w:sz w:val="19"/>
              </w:rPr>
              <w:t>0.3183</w:t>
            </w:r>
          </w:p>
        </w:tc>
        <w:tc>
          <w:tcPr>
            <w:tcW w:type="dxa" w:w="1872"/>
            <w:vAlign w:val="center"/>
            <w:tcMar>
              <w:top w:w="120" w:type="dxa"/>
              <w:bottom w:w="120" w:type="dxa"/>
              <w:left w:w="150" w:type="dxa"/>
              <w:right w:w="150" w:type="dxa"/>
            </w:tcMar>
            <w:shd w:fill="FFFFFF"/>
          </w:tcPr>
          <w:p>
            <w:r>
              <w:rPr>
                <w:sz w:val="19"/>
              </w:rPr>
              <w:t>0.7082</w:t>
            </w:r>
          </w:p>
        </w:tc>
      </w:tr>
      <w:tr>
        <w:trPr>
          <w:cantSplit/>
        </w:trPr>
        <w:tc>
          <w:tcPr>
            <w:tcW w:type="dxa" w:w="1872"/>
            <w:vAlign w:val="center"/>
            <w:tcMar>
              <w:top w:w="120" w:type="dxa"/>
              <w:bottom w:w="120" w:type="dxa"/>
              <w:left w:w="150" w:type="dxa"/>
              <w:right w:w="150" w:type="dxa"/>
            </w:tcMar>
            <w:shd w:fill="F0F4F8"/>
          </w:tcPr>
          <w:p>
            <w:r>
              <w:rPr>
                <w:sz w:val="19"/>
              </w:rPr>
              <w:t>Maize (Zea mays)</w:t>
            </w:r>
          </w:p>
        </w:tc>
        <w:tc>
          <w:tcPr>
            <w:tcW w:type="dxa" w:w="1872"/>
            <w:vAlign w:val="center"/>
            <w:tcMar>
              <w:top w:w="120" w:type="dxa"/>
              <w:bottom w:w="120" w:type="dxa"/>
              <w:left w:w="150" w:type="dxa"/>
              <w:right w:w="150" w:type="dxa"/>
            </w:tcMar>
            <w:shd w:fill="F0F4F8"/>
          </w:tcPr>
          <w:p>
            <w:r>
              <w:rPr>
                <w:sz w:val="19"/>
              </w:rPr>
              <w:t>37</w:t>
            </w:r>
          </w:p>
        </w:tc>
        <w:tc>
          <w:tcPr>
            <w:tcW w:type="dxa" w:w="1872"/>
            <w:vAlign w:val="center"/>
            <w:tcMar>
              <w:top w:w="120" w:type="dxa"/>
              <w:bottom w:w="120" w:type="dxa"/>
              <w:left w:w="150" w:type="dxa"/>
              <w:right w:w="150" w:type="dxa"/>
            </w:tcMar>
            <w:shd w:fill="F0F4F8"/>
          </w:tcPr>
          <w:p>
            <w:r>
              <w:rPr>
                <w:sz w:val="19"/>
              </w:rPr>
              <w:t>1.0216</w:t>
            </w:r>
          </w:p>
        </w:tc>
        <w:tc>
          <w:tcPr>
            <w:tcW w:type="dxa" w:w="1872"/>
            <w:vAlign w:val="center"/>
            <w:tcMar>
              <w:top w:w="120" w:type="dxa"/>
              <w:bottom w:w="120" w:type="dxa"/>
              <w:left w:w="150" w:type="dxa"/>
              <w:right w:w="150" w:type="dxa"/>
            </w:tcMar>
            <w:shd w:fill="F0F4F8"/>
          </w:tcPr>
          <w:p>
            <w:r>
              <w:rPr>
                <w:sz w:val="19"/>
              </w:rPr>
              <w:t>0.6714</w:t>
            </w:r>
          </w:p>
        </w:tc>
        <w:tc>
          <w:tcPr>
            <w:tcW w:type="dxa" w:w="1872"/>
            <w:vAlign w:val="center"/>
            <w:tcMar>
              <w:top w:w="120" w:type="dxa"/>
              <w:bottom w:w="120" w:type="dxa"/>
              <w:left w:w="150" w:type="dxa"/>
              <w:right w:w="150" w:type="dxa"/>
            </w:tcMar>
            <w:shd w:fill="F0F4F8"/>
          </w:tcPr>
          <w:p>
            <w:r>
              <w:rPr>
                <w:sz w:val="19"/>
              </w:rPr>
              <w:t>0.6750</w:t>
            </w:r>
          </w:p>
        </w:tc>
      </w:tr>
    </w:tbl>
    <w:p>
      <w:pPr>
        <w:spacing w:after="80"/>
      </w:pPr>
    </w:p>
    <w:p>
      <w:pPr>
        <w:keepNext/>
        <w:spacing w:before="240" w:after="80"/>
      </w:pPr>
      <w:r>
        <w:rPr>
          <w:rFonts w:ascii="Arial" w:hAnsi="Arial"/>
          <w:b/>
          <w:color w:val="29466E"/>
          <w:sz w:val="25"/>
        </w:rPr>
        <w:t>4.4 Image-Only Baseline Comparison</w:t>
      </w:r>
    </w:p>
    <w:p>
      <w:r>
        <w:t>To rigorously examine whether satellite imagery alone can forecast yield without agricultural ground records, a custom 6-channel CNN (RGB + NDVI) and statistical raster summary models were evaluated on aligned 2019 test image pairs (N = 13):</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120" w:type="dxa"/>
              <w:bottom w:w="120" w:type="dxa"/>
              <w:left w:w="150" w:type="dxa"/>
              <w:right w:w="150" w:type="dxa"/>
            </w:tcMar>
            <w:shd w:fill="1B365D"/>
          </w:tcPr>
          <w:p>
            <w:pPr>
              <w:jc w:val="center"/>
            </w:pPr>
            <w:r>
              <w:rPr>
                <w:b/>
                <w:color w:val="FFFFFF"/>
                <w:sz w:val="19"/>
              </w:rPr>
              <w:t>Input Representation &amp; Model</w:t>
            </w:r>
          </w:p>
        </w:tc>
        <w:tc>
          <w:tcPr>
            <w:tcW w:type="dxa" w:w="2340"/>
            <w:vAlign w:val="center"/>
            <w:tcMar>
              <w:top w:w="120" w:type="dxa"/>
              <w:bottom w:w="120" w:type="dxa"/>
              <w:left w:w="150" w:type="dxa"/>
              <w:right w:w="150" w:type="dxa"/>
            </w:tcMar>
            <w:shd w:fill="1B365D"/>
          </w:tcPr>
          <w:p>
            <w:pPr>
              <w:jc w:val="center"/>
            </w:pPr>
            <w:r>
              <w:rPr>
                <w:b/>
                <w:color w:val="FFFFFF"/>
                <w:sz w:val="19"/>
              </w:rPr>
              <w:t>Test RMSE</w:t>
            </w:r>
          </w:p>
        </w:tc>
        <w:tc>
          <w:tcPr>
            <w:tcW w:type="dxa" w:w="2340"/>
            <w:vAlign w:val="center"/>
            <w:tcMar>
              <w:top w:w="120" w:type="dxa"/>
              <w:bottom w:w="120" w:type="dxa"/>
              <w:left w:w="150" w:type="dxa"/>
              <w:right w:w="150" w:type="dxa"/>
            </w:tcMar>
            <w:shd w:fill="1B365D"/>
          </w:tcPr>
          <w:p>
            <w:pPr>
              <w:jc w:val="center"/>
            </w:pPr>
            <w:r>
              <w:rPr>
                <w:b/>
                <w:color w:val="FFFFFF"/>
                <w:sz w:val="19"/>
              </w:rPr>
              <w:t>Test MAE</w:t>
            </w:r>
          </w:p>
        </w:tc>
        <w:tc>
          <w:tcPr>
            <w:tcW w:type="dxa" w:w="2340"/>
            <w:vAlign w:val="center"/>
            <w:tcMar>
              <w:top w:w="120" w:type="dxa"/>
              <w:bottom w:w="120" w:type="dxa"/>
              <w:left w:w="150" w:type="dxa"/>
              <w:right w:w="150" w:type="dxa"/>
            </w:tcMar>
            <w:shd w:fill="1B365D"/>
          </w:tcPr>
          <w:p>
            <w:pPr>
              <w:jc w:val="center"/>
            </w:pPr>
            <w:r>
              <w:rPr>
                <w:b/>
                <w:color w:val="FFFFFF"/>
                <w:sz w:val="19"/>
              </w:rPr>
              <w:t>Test R²</w:t>
            </w:r>
          </w:p>
        </w:tc>
      </w:tr>
      <w:tr>
        <w:trPr>
          <w:cantSplit/>
        </w:trPr>
        <w:tc>
          <w:tcPr>
            <w:tcW w:type="dxa" w:w="2340"/>
            <w:vAlign w:val="center"/>
            <w:tcMar>
              <w:top w:w="120" w:type="dxa"/>
              <w:bottom w:w="120" w:type="dxa"/>
              <w:left w:w="150" w:type="dxa"/>
              <w:right w:w="150" w:type="dxa"/>
            </w:tcMar>
            <w:shd w:fill="FFFFFF"/>
          </w:tcPr>
          <w:p>
            <w:r>
              <w:rPr>
                <w:sz w:val="19"/>
              </w:rPr>
              <w:t>6-Channel CNN (RGB + NDVI from scratch)</w:t>
            </w:r>
          </w:p>
        </w:tc>
        <w:tc>
          <w:tcPr>
            <w:tcW w:type="dxa" w:w="2340"/>
            <w:vAlign w:val="center"/>
            <w:tcMar>
              <w:top w:w="120" w:type="dxa"/>
              <w:bottom w:w="120" w:type="dxa"/>
              <w:left w:w="150" w:type="dxa"/>
              <w:right w:w="150" w:type="dxa"/>
            </w:tcMar>
            <w:shd w:fill="FFFFFF"/>
          </w:tcPr>
          <w:p>
            <w:r>
              <w:rPr>
                <w:sz w:val="19"/>
              </w:rPr>
              <w:t>1.3560</w:t>
            </w:r>
          </w:p>
        </w:tc>
        <w:tc>
          <w:tcPr>
            <w:tcW w:type="dxa" w:w="2340"/>
            <w:vAlign w:val="center"/>
            <w:tcMar>
              <w:top w:w="120" w:type="dxa"/>
              <w:bottom w:w="120" w:type="dxa"/>
              <w:left w:w="150" w:type="dxa"/>
              <w:right w:w="150" w:type="dxa"/>
            </w:tcMar>
            <w:shd w:fill="FFFFFF"/>
          </w:tcPr>
          <w:p>
            <w:r>
              <w:rPr>
                <w:sz w:val="19"/>
              </w:rPr>
              <w:t>0.9282</w:t>
            </w:r>
          </w:p>
        </w:tc>
        <w:tc>
          <w:tcPr>
            <w:tcW w:type="dxa" w:w="2340"/>
            <w:vAlign w:val="center"/>
            <w:tcMar>
              <w:top w:w="120" w:type="dxa"/>
              <w:bottom w:w="120" w:type="dxa"/>
              <w:left w:w="150" w:type="dxa"/>
              <w:right w:w="150" w:type="dxa"/>
            </w:tcMar>
            <w:shd w:fill="FFFFFF"/>
          </w:tcPr>
          <w:p>
            <w:r>
              <w:rPr>
                <w:sz w:val="19"/>
              </w:rPr>
              <w:t>0.0610</w:t>
            </w:r>
          </w:p>
        </w:tc>
      </w:tr>
      <w:tr>
        <w:trPr>
          <w:cantSplit/>
        </w:trPr>
        <w:tc>
          <w:tcPr>
            <w:tcW w:type="dxa" w:w="2340"/>
            <w:vAlign w:val="center"/>
            <w:tcMar>
              <w:top w:w="120" w:type="dxa"/>
              <w:bottom w:w="120" w:type="dxa"/>
              <w:left w:w="150" w:type="dxa"/>
              <w:right w:w="150" w:type="dxa"/>
            </w:tcMar>
            <w:shd w:fill="F0F4F8"/>
          </w:tcPr>
          <w:p>
            <w:r>
              <w:rPr>
                <w:sz w:val="19"/>
              </w:rPr>
              <w:t>RGB Summary Features (Extra Trees)</w:t>
            </w:r>
          </w:p>
        </w:tc>
        <w:tc>
          <w:tcPr>
            <w:tcW w:type="dxa" w:w="2340"/>
            <w:vAlign w:val="center"/>
            <w:tcMar>
              <w:top w:w="120" w:type="dxa"/>
              <w:bottom w:w="120" w:type="dxa"/>
              <w:left w:w="150" w:type="dxa"/>
              <w:right w:w="150" w:type="dxa"/>
            </w:tcMar>
            <w:shd w:fill="F0F4F8"/>
          </w:tcPr>
          <w:p>
            <w:r>
              <w:rPr>
                <w:sz w:val="19"/>
              </w:rPr>
              <w:t>1.1762</w:t>
            </w:r>
          </w:p>
        </w:tc>
        <w:tc>
          <w:tcPr>
            <w:tcW w:type="dxa" w:w="2340"/>
            <w:vAlign w:val="center"/>
            <w:tcMar>
              <w:top w:w="120" w:type="dxa"/>
              <w:bottom w:w="120" w:type="dxa"/>
              <w:left w:w="150" w:type="dxa"/>
              <w:right w:w="150" w:type="dxa"/>
            </w:tcMar>
            <w:shd w:fill="F0F4F8"/>
          </w:tcPr>
          <w:p>
            <w:r>
              <w:rPr>
                <w:sz w:val="19"/>
              </w:rPr>
              <w:t>0.7446</w:t>
            </w:r>
          </w:p>
        </w:tc>
        <w:tc>
          <w:tcPr>
            <w:tcW w:type="dxa" w:w="2340"/>
            <w:vAlign w:val="center"/>
            <w:tcMar>
              <w:top w:w="120" w:type="dxa"/>
              <w:bottom w:w="120" w:type="dxa"/>
              <w:left w:w="150" w:type="dxa"/>
              <w:right w:w="150" w:type="dxa"/>
            </w:tcMar>
            <w:shd w:fill="F0F4F8"/>
          </w:tcPr>
          <w:p>
            <w:r>
              <w:rPr>
                <w:sz w:val="19"/>
              </w:rPr>
              <w:t>0.2935</w:t>
            </w:r>
          </w:p>
        </w:tc>
      </w:tr>
      <w:tr>
        <w:trPr>
          <w:cantSplit/>
        </w:trPr>
        <w:tc>
          <w:tcPr>
            <w:tcW w:type="dxa" w:w="2340"/>
            <w:vAlign w:val="center"/>
            <w:tcMar>
              <w:top w:w="120" w:type="dxa"/>
              <w:bottom w:w="120" w:type="dxa"/>
              <w:left w:w="150" w:type="dxa"/>
              <w:right w:w="150" w:type="dxa"/>
            </w:tcMar>
            <w:shd w:fill="FFFFFF"/>
          </w:tcPr>
          <w:p>
            <w:r>
              <w:rPr>
                <w:sz w:val="19"/>
              </w:rPr>
              <w:t>NDVI Summary Features (Extra Trees)</w:t>
            </w:r>
          </w:p>
        </w:tc>
        <w:tc>
          <w:tcPr>
            <w:tcW w:type="dxa" w:w="2340"/>
            <w:vAlign w:val="center"/>
            <w:tcMar>
              <w:top w:w="120" w:type="dxa"/>
              <w:bottom w:w="120" w:type="dxa"/>
              <w:left w:w="150" w:type="dxa"/>
              <w:right w:w="150" w:type="dxa"/>
            </w:tcMar>
            <w:shd w:fill="FFFFFF"/>
          </w:tcPr>
          <w:p>
            <w:r>
              <w:rPr>
                <w:sz w:val="19"/>
              </w:rPr>
              <w:t>1.0987</w:t>
            </w:r>
          </w:p>
        </w:tc>
        <w:tc>
          <w:tcPr>
            <w:tcW w:type="dxa" w:w="2340"/>
            <w:vAlign w:val="center"/>
            <w:tcMar>
              <w:top w:w="120" w:type="dxa"/>
              <w:bottom w:w="120" w:type="dxa"/>
              <w:left w:w="150" w:type="dxa"/>
              <w:right w:w="150" w:type="dxa"/>
            </w:tcMar>
            <w:shd w:fill="FFFFFF"/>
          </w:tcPr>
          <w:p>
            <w:r>
              <w:rPr>
                <w:sz w:val="19"/>
              </w:rPr>
              <w:t>0.7723</w:t>
            </w:r>
          </w:p>
        </w:tc>
        <w:tc>
          <w:tcPr>
            <w:tcW w:type="dxa" w:w="2340"/>
            <w:vAlign w:val="center"/>
            <w:tcMar>
              <w:top w:w="120" w:type="dxa"/>
              <w:bottom w:w="120" w:type="dxa"/>
              <w:left w:w="150" w:type="dxa"/>
              <w:right w:w="150" w:type="dxa"/>
            </w:tcMar>
            <w:shd w:fill="FFFFFF"/>
          </w:tcPr>
          <w:p>
            <w:r>
              <w:rPr>
                <w:sz w:val="19"/>
              </w:rPr>
              <w:t>0.3836</w:t>
            </w:r>
          </w:p>
        </w:tc>
      </w:tr>
      <w:tr>
        <w:trPr>
          <w:cantSplit/>
        </w:trPr>
        <w:tc>
          <w:tcPr>
            <w:tcW w:type="dxa" w:w="2340"/>
            <w:vAlign w:val="center"/>
            <w:tcMar>
              <w:top w:w="120" w:type="dxa"/>
              <w:bottom w:w="120" w:type="dxa"/>
              <w:left w:w="150" w:type="dxa"/>
              <w:right w:w="150" w:type="dxa"/>
            </w:tcMar>
            <w:shd w:fill="F0F4F8"/>
          </w:tcPr>
          <w:p>
            <w:r>
              <w:rPr>
                <w:sz w:val="19"/>
              </w:rPr>
              <w:t>RGB + NDVI Summary (Ridge Regressor)</w:t>
            </w:r>
          </w:p>
        </w:tc>
        <w:tc>
          <w:tcPr>
            <w:tcW w:type="dxa" w:w="2340"/>
            <w:vAlign w:val="center"/>
            <w:tcMar>
              <w:top w:w="120" w:type="dxa"/>
              <w:bottom w:w="120" w:type="dxa"/>
              <w:left w:w="150" w:type="dxa"/>
              <w:right w:w="150" w:type="dxa"/>
            </w:tcMar>
            <w:shd w:fill="F0F4F8"/>
          </w:tcPr>
          <w:p>
            <w:r>
              <w:rPr>
                <w:sz w:val="19"/>
              </w:rPr>
              <w:t>1.1226</w:t>
            </w:r>
          </w:p>
        </w:tc>
        <w:tc>
          <w:tcPr>
            <w:tcW w:type="dxa" w:w="2340"/>
            <w:vAlign w:val="center"/>
            <w:tcMar>
              <w:top w:w="120" w:type="dxa"/>
              <w:bottom w:w="120" w:type="dxa"/>
              <w:left w:w="150" w:type="dxa"/>
              <w:right w:w="150" w:type="dxa"/>
            </w:tcMar>
            <w:shd w:fill="F0F4F8"/>
          </w:tcPr>
          <w:p>
            <w:r>
              <w:rPr>
                <w:sz w:val="19"/>
              </w:rPr>
              <w:t>0.7639</w:t>
            </w:r>
          </w:p>
        </w:tc>
        <w:tc>
          <w:tcPr>
            <w:tcW w:type="dxa" w:w="2340"/>
            <w:vAlign w:val="center"/>
            <w:tcMar>
              <w:top w:w="120" w:type="dxa"/>
              <w:bottom w:w="120" w:type="dxa"/>
              <w:left w:w="150" w:type="dxa"/>
              <w:right w:w="150" w:type="dxa"/>
            </w:tcMar>
            <w:shd w:fill="F0F4F8"/>
          </w:tcPr>
          <w:p>
            <w:r>
              <w:rPr>
                <w:sz w:val="19"/>
              </w:rPr>
              <w:t>0.3565</w:t>
            </w:r>
          </w:p>
        </w:tc>
      </w:tr>
      <w:tr>
        <w:trPr>
          <w:cantSplit/>
        </w:trPr>
        <w:tc>
          <w:tcPr>
            <w:tcW w:type="dxa" w:w="2340"/>
            <w:vAlign w:val="center"/>
            <w:tcMar>
              <w:top w:w="120" w:type="dxa"/>
              <w:bottom w:w="120" w:type="dxa"/>
              <w:left w:w="150" w:type="dxa"/>
              <w:right w:w="150" w:type="dxa"/>
            </w:tcMar>
            <w:shd w:fill="FFFFFF"/>
          </w:tcPr>
          <w:p>
            <w:r>
              <w:rPr>
                <w:sz w:val="19"/>
              </w:rPr>
              <w:t>Tabular Gradient Boosting (Same 13 Samples)</w:t>
            </w:r>
          </w:p>
        </w:tc>
        <w:tc>
          <w:tcPr>
            <w:tcW w:type="dxa" w:w="2340"/>
            <w:vAlign w:val="center"/>
            <w:tcMar>
              <w:top w:w="120" w:type="dxa"/>
              <w:bottom w:w="120" w:type="dxa"/>
              <w:left w:w="150" w:type="dxa"/>
              <w:right w:w="150" w:type="dxa"/>
            </w:tcMar>
            <w:shd w:fill="FFFFFF"/>
          </w:tcPr>
          <w:p>
            <w:r>
              <w:rPr>
                <w:sz w:val="19"/>
              </w:rPr>
              <w:t>0.7936</w:t>
            </w:r>
          </w:p>
        </w:tc>
        <w:tc>
          <w:tcPr>
            <w:tcW w:type="dxa" w:w="2340"/>
            <w:vAlign w:val="center"/>
            <w:tcMar>
              <w:top w:w="120" w:type="dxa"/>
              <w:bottom w:w="120" w:type="dxa"/>
              <w:left w:w="150" w:type="dxa"/>
              <w:right w:w="150" w:type="dxa"/>
            </w:tcMar>
            <w:shd w:fill="FFFFFF"/>
          </w:tcPr>
          <w:p>
            <w:r>
              <w:rPr>
                <w:sz w:val="19"/>
              </w:rPr>
              <w:t>0.5489</w:t>
            </w:r>
          </w:p>
        </w:tc>
        <w:tc>
          <w:tcPr>
            <w:tcW w:type="dxa" w:w="2340"/>
            <w:vAlign w:val="center"/>
            <w:tcMar>
              <w:top w:w="120" w:type="dxa"/>
              <w:bottom w:w="120" w:type="dxa"/>
              <w:left w:w="150" w:type="dxa"/>
              <w:right w:w="150" w:type="dxa"/>
            </w:tcMar>
            <w:shd w:fill="FFFFFF"/>
          </w:tcPr>
          <w:p>
            <w:r>
              <w:rPr>
                <w:sz w:val="19"/>
              </w:rPr>
              <w:t>0.6784</w:t>
            </w:r>
          </w:p>
        </w:tc>
      </w:tr>
    </w:tbl>
    <w:p>
      <w:pPr>
        <w:spacing w:before="120"/>
      </w:pPr>
      <w:r>
        <w:t>Key Interim Finding: Image-only architectures achieve substantially lower performance (R² = 0.0610 to 0.3836) compared to tabular models (R² = 0.6784 on the identical test cohort). This proves that visual canopy information alone cannot replace knowledge of chemical fertilizers, seed area, and season. However, spectral indices provide meaningful variance reduction, providing the empirical justification for Deep Multimodal Fusion.</w:t>
      </w:r>
    </w:p>
    <w:p>
      <w:pPr>
        <w:keepNext/>
        <w:spacing w:before="240" w:after="80"/>
      </w:pPr>
      <w:r>
        <w:rPr>
          <w:rFonts w:ascii="Arial" w:hAnsi="Arial"/>
          <w:b/>
          <w:color w:val="29466E"/>
          <w:sz w:val="25"/>
        </w:rPr>
        <w:t>4.5 Experimental Visualizations &amp; Diagnostic Reports</w:t>
      </w:r>
    </w:p>
    <w:p>
      <w:pPr>
        <w:spacing w:before="160" w:after="40"/>
        <w:jc w:val="center"/>
      </w:pPr>
    </w:p>
    <w:p>
      <w:r>
        <w:drawing>
          <wp:inline xmlns:a="http://schemas.openxmlformats.org/drawingml/2006/main" xmlns:pic="http://schemas.openxmlformats.org/drawingml/2006/picture">
            <wp:extent cx="5029200" cy="440055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029200" cy="4400550"/>
                    </a:xfrm>
                    <a:prstGeom prst="rect"/>
                  </pic:spPr>
                </pic:pic>
              </a:graphicData>
            </a:graphic>
          </wp:inline>
        </w:drawing>
      </w:r>
    </w:p>
    <w:p>
      <w:pPr>
        <w:spacing w:after="240"/>
        <w:jc w:val="center"/>
      </w:pPr>
      <w:r>
        <w:rPr>
          <w:i/>
          <w:sz w:val="19"/>
        </w:rPr>
        <w:t>Figure 1: Feature Importance ranking for Tabular Gradient Boosting model.</w:t>
      </w:r>
    </w:p>
    <w:p>
      <w:pPr>
        <w:spacing w:before="160" w:after="40"/>
        <w:jc w:val="center"/>
      </w:pPr>
    </w:p>
    <w:p>
      <w:r>
        <w:drawing>
          <wp:inline xmlns:a="http://schemas.openxmlformats.org/drawingml/2006/main" xmlns:pic="http://schemas.openxmlformats.org/drawingml/2006/picture">
            <wp:extent cx="5029200" cy="4310743"/>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029200" cy="4310743"/>
                    </a:xfrm>
                    <a:prstGeom prst="rect"/>
                  </pic:spPr>
                </pic:pic>
              </a:graphicData>
            </a:graphic>
          </wp:inline>
        </w:drawing>
      </w:r>
    </w:p>
    <w:p>
      <w:pPr>
        <w:spacing w:after="240"/>
        <w:jc w:val="center"/>
      </w:pPr>
      <w:r>
        <w:rPr>
          <w:i/>
          <w:sz w:val="19"/>
        </w:rPr>
        <w:t>Figure 2: Actual vs. Predicted Crop Yield (tonnes/ha) on the test partition.</w:t>
      </w:r>
    </w:p>
    <w:p>
      <w:pPr>
        <w:keepNext/>
        <w:spacing w:before="320" w:after="120"/>
      </w:pPr>
      <w:r>
        <w:rPr>
          <w:rFonts w:ascii="Arial" w:hAnsi="Arial"/>
          <w:b/>
          <w:color w:val="1B365D"/>
          <w:sz w:val="30"/>
        </w:rPr>
        <w:t>5. System Architecture &amp; Dashboard Implementation</w:t>
      </w:r>
    </w:p>
    <w:p>
      <w:r>
        <w:t>The project is implemented as an interactive decision-support application using Streamlit (app.py). The application architecture consists of three integrated functional layers:</w:t>
      </w:r>
    </w:p>
    <w:p>
      <w:pPr>
        <w:spacing w:after="60"/>
        <w:ind w:left="360"/>
      </w:pPr>
      <w:r>
        <w:rPr>
          <w:b/>
        </w:rPr>
        <w:t xml:space="preserve">• Geospatial Exploration Module: </w:t>
      </w:r>
      <w:r>
        <w:t>Renders interactive Plotly choropleth and coordinate maps displaying historical state-level yield distributions.</w:t>
      </w:r>
    </w:p>
    <w:p>
      <w:pPr>
        <w:spacing w:after="60"/>
        <w:ind w:left="360"/>
      </w:pPr>
      <w:r>
        <w:rPr>
          <w:b/>
        </w:rPr>
        <w:t xml:space="preserve">• Satellite Remote Sensing Explorer: </w:t>
      </w:r>
      <w:r>
        <w:t>Allows visual inspection of Sentinel-2 RGB imagery alongside rendered NDVI heatmaps across chronological cultivation seasons.</w:t>
      </w:r>
    </w:p>
    <w:p>
      <w:pPr>
        <w:spacing w:after="60"/>
        <w:ind w:left="360"/>
      </w:pPr>
      <w:r>
        <w:rPr>
          <w:b/>
        </w:rPr>
        <w:t xml:space="preserve">• Dynamic Yield Inference Engine: </w:t>
      </w:r>
      <w:r>
        <w:t>Enables end-users to specify crop type, state, season, area, rainfall, and nutrient inputs. Predictions are generated via models/tabular_best_model.joblib, supported by an intelligent heuristic fallback mechanism.</w:t>
      </w:r>
    </w:p>
    <w:p>
      <w:pPr>
        <w:keepNext/>
        <w:spacing w:before="320" w:after="120"/>
      </w:pPr>
      <w:r>
        <w:rPr>
          <w:rFonts w:ascii="Arial" w:hAnsi="Arial"/>
          <w:b/>
          <w:color w:val="1B365D"/>
          <w:sz w:val="30"/>
        </w:rPr>
        <w:t>6. Project Status &amp; Work Breakdown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120" w:type="dxa"/>
              <w:bottom w:w="120" w:type="dxa"/>
              <w:left w:w="150" w:type="dxa"/>
              <w:right w:w="150" w:type="dxa"/>
            </w:tcMar>
            <w:shd w:fill="1B365D"/>
          </w:tcPr>
          <w:p>
            <w:pPr>
              <w:jc w:val="center"/>
            </w:pPr>
            <w:r>
              <w:rPr>
                <w:b/>
                <w:color w:val="FFFFFF"/>
                <w:sz w:val="19"/>
              </w:rPr>
              <w:t>Project Phase / Component</w:t>
            </w:r>
          </w:p>
        </w:tc>
        <w:tc>
          <w:tcPr>
            <w:tcW w:type="dxa" w:w="3120"/>
            <w:vAlign w:val="center"/>
            <w:tcMar>
              <w:top w:w="120" w:type="dxa"/>
              <w:bottom w:w="120" w:type="dxa"/>
              <w:left w:w="150" w:type="dxa"/>
              <w:right w:w="150" w:type="dxa"/>
            </w:tcMar>
            <w:shd w:fill="1B365D"/>
          </w:tcPr>
          <w:p>
            <w:pPr>
              <w:jc w:val="center"/>
            </w:pPr>
            <w:r>
              <w:rPr>
                <w:b/>
                <w:color w:val="FFFFFF"/>
                <w:sz w:val="19"/>
              </w:rPr>
              <w:t>Current Status</w:t>
            </w:r>
          </w:p>
        </w:tc>
        <w:tc>
          <w:tcPr>
            <w:tcW w:type="dxa" w:w="3120"/>
            <w:vAlign w:val="center"/>
            <w:tcMar>
              <w:top w:w="120" w:type="dxa"/>
              <w:bottom w:w="120" w:type="dxa"/>
              <w:left w:w="150" w:type="dxa"/>
              <w:right w:w="150" w:type="dxa"/>
            </w:tcMar>
            <w:shd w:fill="1B365D"/>
          </w:tcPr>
          <w:p>
            <w:pPr>
              <w:jc w:val="center"/>
            </w:pPr>
            <w:r>
              <w:rPr>
                <w:b/>
                <w:color w:val="FFFFFF"/>
                <w:sz w:val="19"/>
              </w:rPr>
              <w:t>Key Deliverables / Artifacts</w:t>
            </w:r>
          </w:p>
        </w:tc>
      </w:tr>
      <w:tr>
        <w:trPr>
          <w:cantSplit/>
        </w:trPr>
        <w:tc>
          <w:tcPr>
            <w:tcW w:type="dxa" w:w="3120"/>
            <w:vAlign w:val="center"/>
            <w:tcMar>
              <w:top w:w="120" w:type="dxa"/>
              <w:bottom w:w="120" w:type="dxa"/>
              <w:left w:w="150" w:type="dxa"/>
              <w:right w:w="150" w:type="dxa"/>
            </w:tcMar>
            <w:shd w:fill="FFFFFF"/>
          </w:tcPr>
          <w:p>
            <w:r>
              <w:rPr>
                <w:sz w:val="19"/>
              </w:rPr>
              <w:t>Problem Definition &amp; Literature Survey</w:t>
            </w:r>
          </w:p>
        </w:tc>
        <w:tc>
          <w:tcPr>
            <w:tcW w:type="dxa" w:w="3120"/>
            <w:vAlign w:val="center"/>
            <w:tcMar>
              <w:top w:w="120" w:type="dxa"/>
              <w:bottom w:w="120" w:type="dxa"/>
              <w:left w:w="150" w:type="dxa"/>
              <w:right w:w="150" w:type="dxa"/>
            </w:tcMar>
            <w:shd w:fill="FFFFFF"/>
          </w:tcPr>
          <w:p>
            <w:r>
              <w:rPr>
                <w:sz w:val="19"/>
              </w:rPr>
              <w:t>Completed</w:t>
            </w:r>
          </w:p>
        </w:tc>
        <w:tc>
          <w:tcPr>
            <w:tcW w:type="dxa" w:w="3120"/>
            <w:vAlign w:val="center"/>
            <w:tcMar>
              <w:top w:w="120" w:type="dxa"/>
              <w:bottom w:w="120" w:type="dxa"/>
              <w:left w:w="150" w:type="dxa"/>
              <w:right w:w="150" w:type="dxa"/>
            </w:tcMar>
            <w:shd w:fill="FFFFFF"/>
          </w:tcPr>
          <w:p>
            <w:r>
              <w:rPr>
                <w:sz w:val="19"/>
              </w:rPr>
              <w:t>Domain review &amp; project charter</w:t>
            </w:r>
          </w:p>
        </w:tc>
      </w:tr>
      <w:tr>
        <w:trPr>
          <w:cantSplit/>
        </w:trPr>
        <w:tc>
          <w:tcPr>
            <w:tcW w:type="dxa" w:w="3120"/>
            <w:vAlign w:val="center"/>
            <w:tcMar>
              <w:top w:w="120" w:type="dxa"/>
              <w:bottom w:w="120" w:type="dxa"/>
              <w:left w:w="150" w:type="dxa"/>
              <w:right w:w="150" w:type="dxa"/>
            </w:tcMar>
            <w:shd w:fill="F0F4F8"/>
          </w:tcPr>
          <w:p>
            <w:r>
              <w:rPr>
                <w:sz w:val="19"/>
              </w:rPr>
              <w:t>Multimodal Dataset Harmonization</w:t>
            </w:r>
          </w:p>
        </w:tc>
        <w:tc>
          <w:tcPr>
            <w:tcW w:type="dxa" w:w="3120"/>
            <w:vAlign w:val="center"/>
            <w:tcMar>
              <w:top w:w="120" w:type="dxa"/>
              <w:bottom w:w="120" w:type="dxa"/>
              <w:left w:w="150" w:type="dxa"/>
              <w:right w:w="150" w:type="dxa"/>
            </w:tcMar>
            <w:shd w:fill="F0F4F8"/>
          </w:tcPr>
          <w:p>
            <w:r>
              <w:rPr>
                <w:sz w:val="19"/>
              </w:rPr>
              <w:t>Completed</w:t>
            </w:r>
          </w:p>
        </w:tc>
        <w:tc>
          <w:tcPr>
            <w:tcW w:type="dxa" w:w="3120"/>
            <w:vAlign w:val="center"/>
            <w:tcMar>
              <w:top w:w="120" w:type="dxa"/>
              <w:bottom w:w="120" w:type="dxa"/>
              <w:left w:w="150" w:type="dxa"/>
              <w:right w:w="150" w:type="dxa"/>
            </w:tcMar>
            <w:shd w:fill="F0F4F8"/>
          </w:tcPr>
          <w:p>
            <w:r>
              <w:rPr>
                <w:sz w:val="19"/>
              </w:rPr>
              <w:t>crop_yield.csv, sentinel2_features.csv</w:t>
            </w:r>
          </w:p>
        </w:tc>
      </w:tr>
      <w:tr>
        <w:trPr>
          <w:cantSplit/>
        </w:trPr>
        <w:tc>
          <w:tcPr>
            <w:tcW w:type="dxa" w:w="3120"/>
            <w:vAlign w:val="center"/>
            <w:tcMar>
              <w:top w:w="120" w:type="dxa"/>
              <w:bottom w:w="120" w:type="dxa"/>
              <w:left w:w="150" w:type="dxa"/>
              <w:right w:w="150" w:type="dxa"/>
            </w:tcMar>
            <w:shd w:fill="FFFFFF"/>
          </w:tcPr>
          <w:p>
            <w:r>
              <w:rPr>
                <w:sz w:val="19"/>
              </w:rPr>
              <w:t>Leakage-free Preprocessing &amp; Splitting</w:t>
            </w:r>
          </w:p>
        </w:tc>
        <w:tc>
          <w:tcPr>
            <w:tcW w:type="dxa" w:w="3120"/>
            <w:vAlign w:val="center"/>
            <w:tcMar>
              <w:top w:w="120" w:type="dxa"/>
              <w:bottom w:w="120" w:type="dxa"/>
              <w:left w:w="150" w:type="dxa"/>
              <w:right w:w="150" w:type="dxa"/>
            </w:tcMar>
            <w:shd w:fill="FFFFFF"/>
          </w:tcPr>
          <w:p>
            <w:r>
              <w:rPr>
                <w:sz w:val="19"/>
              </w:rPr>
              <w:t>Completed</w:t>
            </w:r>
          </w:p>
        </w:tc>
        <w:tc>
          <w:tcPr>
            <w:tcW w:type="dxa" w:w="3120"/>
            <w:vAlign w:val="center"/>
            <w:tcMar>
              <w:top w:w="120" w:type="dxa"/>
              <w:bottom w:w="120" w:type="dxa"/>
              <w:left w:w="150" w:type="dxa"/>
              <w:right w:w="150" w:type="dxa"/>
            </w:tcMar>
            <w:shd w:fill="FFFFFF"/>
          </w:tcPr>
          <w:p>
            <w:r>
              <w:rPr>
                <w:sz w:val="19"/>
              </w:rPr>
              <w:t>modeling_dataset.csv, cnn_samples.csv</w:t>
            </w:r>
          </w:p>
        </w:tc>
      </w:tr>
      <w:tr>
        <w:trPr>
          <w:cantSplit/>
        </w:trPr>
        <w:tc>
          <w:tcPr>
            <w:tcW w:type="dxa" w:w="3120"/>
            <w:vAlign w:val="center"/>
            <w:tcMar>
              <w:top w:w="120" w:type="dxa"/>
              <w:bottom w:w="120" w:type="dxa"/>
              <w:left w:w="150" w:type="dxa"/>
              <w:right w:w="150" w:type="dxa"/>
            </w:tcMar>
            <w:shd w:fill="F0F4F8"/>
          </w:tcPr>
          <w:p>
            <w:r>
              <w:rPr>
                <w:sz w:val="19"/>
              </w:rPr>
              <w:t>Tabular Model Benchmarking (R² = 0.6919)</w:t>
            </w:r>
          </w:p>
        </w:tc>
        <w:tc>
          <w:tcPr>
            <w:tcW w:type="dxa" w:w="3120"/>
            <w:vAlign w:val="center"/>
            <w:tcMar>
              <w:top w:w="120" w:type="dxa"/>
              <w:bottom w:w="120" w:type="dxa"/>
              <w:left w:w="150" w:type="dxa"/>
              <w:right w:w="150" w:type="dxa"/>
            </w:tcMar>
            <w:shd w:fill="F0F4F8"/>
          </w:tcPr>
          <w:p>
            <w:r>
              <w:rPr>
                <w:sz w:val="19"/>
              </w:rPr>
              <w:t>Completed</w:t>
            </w:r>
          </w:p>
        </w:tc>
        <w:tc>
          <w:tcPr>
            <w:tcW w:type="dxa" w:w="3120"/>
            <w:vAlign w:val="center"/>
            <w:tcMar>
              <w:top w:w="120" w:type="dxa"/>
              <w:bottom w:w="120" w:type="dxa"/>
              <w:left w:w="150" w:type="dxa"/>
              <w:right w:w="150" w:type="dxa"/>
            </w:tcMar>
            <w:shd w:fill="F0F4F8"/>
          </w:tcPr>
          <w:p>
            <w:r>
              <w:rPr>
                <w:sz w:val="19"/>
              </w:rPr>
              <w:t>tabular_best_model.joblib, reports/</w:t>
            </w:r>
          </w:p>
        </w:tc>
      </w:tr>
      <w:tr>
        <w:trPr>
          <w:cantSplit/>
        </w:trPr>
        <w:tc>
          <w:tcPr>
            <w:tcW w:type="dxa" w:w="3120"/>
            <w:vAlign w:val="center"/>
            <w:tcMar>
              <w:top w:w="120" w:type="dxa"/>
              <w:bottom w:w="120" w:type="dxa"/>
              <w:left w:w="150" w:type="dxa"/>
              <w:right w:w="150" w:type="dxa"/>
            </w:tcMar>
            <w:shd w:fill="FFFFFF"/>
          </w:tcPr>
          <w:p>
            <w:r>
              <w:rPr>
                <w:sz w:val="19"/>
              </w:rPr>
              <w:t>Image Baseline Experiments (R² = 0.0610)</w:t>
            </w:r>
          </w:p>
        </w:tc>
        <w:tc>
          <w:tcPr>
            <w:tcW w:type="dxa" w:w="3120"/>
            <w:vAlign w:val="center"/>
            <w:tcMar>
              <w:top w:w="120" w:type="dxa"/>
              <w:bottom w:w="120" w:type="dxa"/>
              <w:left w:w="150" w:type="dxa"/>
              <w:right w:w="150" w:type="dxa"/>
            </w:tcMar>
            <w:shd w:fill="FFFFFF"/>
          </w:tcPr>
          <w:p>
            <w:r>
              <w:rPr>
                <w:sz w:val="19"/>
              </w:rPr>
              <w:t>Completed</w:t>
            </w:r>
          </w:p>
        </w:tc>
        <w:tc>
          <w:tcPr>
            <w:tcW w:type="dxa" w:w="3120"/>
            <w:vAlign w:val="center"/>
            <w:tcMar>
              <w:top w:w="120" w:type="dxa"/>
              <w:bottom w:w="120" w:type="dxa"/>
              <w:left w:w="150" w:type="dxa"/>
              <w:right w:w="150" w:type="dxa"/>
            </w:tcMar>
            <w:shd w:fill="FFFFFF"/>
          </w:tcPr>
          <w:p>
            <w:r>
              <w:rPr>
                <w:sz w:val="19"/>
              </w:rPr>
              <w:t>cnn_image_baseline.keras</w:t>
            </w:r>
          </w:p>
        </w:tc>
      </w:tr>
      <w:tr>
        <w:trPr>
          <w:cantSplit/>
        </w:trPr>
        <w:tc>
          <w:tcPr>
            <w:tcW w:type="dxa" w:w="3120"/>
            <w:vAlign w:val="center"/>
            <w:tcMar>
              <w:top w:w="120" w:type="dxa"/>
              <w:bottom w:w="120" w:type="dxa"/>
              <w:left w:w="150" w:type="dxa"/>
              <w:right w:w="150" w:type="dxa"/>
            </w:tcMar>
            <w:shd w:fill="F0F4F8"/>
          </w:tcPr>
          <w:p>
            <w:r>
              <w:rPr>
                <w:sz w:val="19"/>
              </w:rPr>
              <w:t>Streamlit Interactive Web Dashboard</w:t>
            </w:r>
          </w:p>
        </w:tc>
        <w:tc>
          <w:tcPr>
            <w:tcW w:type="dxa" w:w="3120"/>
            <w:vAlign w:val="center"/>
            <w:tcMar>
              <w:top w:w="120" w:type="dxa"/>
              <w:bottom w:w="120" w:type="dxa"/>
              <w:left w:w="150" w:type="dxa"/>
              <w:right w:w="150" w:type="dxa"/>
            </w:tcMar>
            <w:shd w:fill="F0F4F8"/>
          </w:tcPr>
          <w:p>
            <w:r>
              <w:rPr>
                <w:sz w:val="19"/>
              </w:rPr>
              <w:t>Completed</w:t>
            </w:r>
          </w:p>
        </w:tc>
        <w:tc>
          <w:tcPr>
            <w:tcW w:type="dxa" w:w="3120"/>
            <w:vAlign w:val="center"/>
            <w:tcMar>
              <w:top w:w="120" w:type="dxa"/>
              <w:bottom w:w="120" w:type="dxa"/>
              <w:left w:w="150" w:type="dxa"/>
              <w:right w:w="150" w:type="dxa"/>
            </w:tcMar>
            <w:shd w:fill="F0F4F8"/>
          </w:tcPr>
          <w:p>
            <w:r>
              <w:rPr>
                <w:sz w:val="19"/>
              </w:rPr>
              <w:t>app.py functional deployment</w:t>
            </w:r>
          </w:p>
        </w:tc>
      </w:tr>
      <w:tr>
        <w:trPr>
          <w:cantSplit/>
        </w:trPr>
        <w:tc>
          <w:tcPr>
            <w:tcW w:type="dxa" w:w="3120"/>
            <w:vAlign w:val="center"/>
            <w:tcMar>
              <w:top w:w="120" w:type="dxa"/>
              <w:bottom w:w="120" w:type="dxa"/>
              <w:left w:w="150" w:type="dxa"/>
              <w:right w:w="150" w:type="dxa"/>
            </w:tcMar>
            <w:shd w:fill="FFFFFF"/>
          </w:tcPr>
          <w:p>
            <w:r>
              <w:rPr>
                <w:sz w:val="19"/>
              </w:rPr>
              <w:t>Deep Multimodal Fusion Model (Dual-Branch)</w:t>
            </w:r>
          </w:p>
        </w:tc>
        <w:tc>
          <w:tcPr>
            <w:tcW w:type="dxa" w:w="3120"/>
            <w:vAlign w:val="center"/>
            <w:tcMar>
              <w:top w:w="120" w:type="dxa"/>
              <w:bottom w:w="120" w:type="dxa"/>
              <w:left w:w="150" w:type="dxa"/>
              <w:right w:w="150" w:type="dxa"/>
            </w:tcMar>
            <w:shd w:fill="FFFFFF"/>
          </w:tcPr>
          <w:p>
            <w:r>
              <w:rPr>
                <w:sz w:val="19"/>
              </w:rPr>
              <w:t>In Progress</w:t>
            </w:r>
          </w:p>
        </w:tc>
        <w:tc>
          <w:tcPr>
            <w:tcW w:type="dxa" w:w="3120"/>
            <w:vAlign w:val="center"/>
            <w:tcMar>
              <w:top w:w="120" w:type="dxa"/>
              <w:bottom w:w="120" w:type="dxa"/>
              <w:left w:w="150" w:type="dxa"/>
              <w:right w:w="150" w:type="dxa"/>
            </w:tcMar>
            <w:shd w:fill="FFFFFF"/>
          </w:tcPr>
          <w:p>
            <w:r>
              <w:rPr>
                <w:sz w:val="19"/>
              </w:rPr>
              <w:t>Dual-branch neural network training</w:t>
            </w:r>
          </w:p>
        </w:tc>
      </w:tr>
    </w:tbl>
    <w:p>
      <w:pPr>
        <w:keepNext/>
        <w:spacing w:before="320" w:after="120"/>
      </w:pPr>
      <w:r>
        <w:rPr>
          <w:rFonts w:ascii="Arial" w:hAnsi="Arial"/>
          <w:b/>
          <w:color w:val="1B365D"/>
          <w:sz w:val="30"/>
        </w:rPr>
        <w:t>7. Milestones Awaiting Project Completion</w:t>
      </w:r>
    </w:p>
    <w:p>
      <w:r>
        <w:t>To complete the final phase of the project, the following deliverables will be executed:</w:t>
      </w:r>
    </w:p>
    <w:p>
      <w:pPr>
        <w:spacing w:after="60"/>
        <w:ind w:left="360"/>
      </w:pPr>
      <w:r>
        <w:rPr>
          <w:b/>
        </w:rPr>
        <w:t xml:space="preserve">• 1. Deep Multimodal Dual-Branch Network: </w:t>
      </w:r>
      <w:r>
        <w:t>Construct a joint PyTorch/Keras architecture that couples a CNN backbone (processing Sentinel-2 tiles) with a dense MLP (processing tabular features), concatenating feature embeddings for unified end-to-end regression.</w:t>
      </w:r>
    </w:p>
    <w:p>
      <w:pPr>
        <w:spacing w:after="60"/>
        <w:ind w:left="360"/>
      </w:pPr>
      <w:r>
        <w:rPr>
          <w:b/>
        </w:rPr>
        <w:t xml:space="preserve">• 2. Final Ablation Benchmark: </w:t>
      </w:r>
      <w:r>
        <w:t>Conduct a three-way comparative study: Multimodal Fusion vs. Tabular Only vs. Image Only across identical test samples to validate performance improvements.</w:t>
      </w:r>
    </w:p>
    <w:p>
      <w:pPr>
        <w:spacing w:after="60"/>
        <w:ind w:left="360"/>
      </w:pPr>
      <w:r>
        <w:rPr>
          <w:b/>
        </w:rPr>
        <w:t xml:space="preserve">• 3. Error Diagnostics: </w:t>
      </w:r>
      <w:r>
        <w:t>Perform residual distribution analysis across states and rainfall extremes to identify regional model uncertainties.</w:t>
      </w:r>
    </w:p>
    <w:p>
      <w:pPr>
        <w:spacing w:after="60"/>
        <w:ind w:left="360"/>
      </w:pPr>
      <w:r>
        <w:rPr>
          <w:b/>
        </w:rPr>
        <w:t xml:space="preserve">• 4. Production Integration: </w:t>
      </w:r>
      <w:r>
        <w:t>Embed the trained multimodal network into app.py for live multimodal inference.</w:t>
      </w:r>
    </w:p>
    <w:p>
      <w:pPr>
        <w:keepNext/>
        <w:spacing w:before="320" w:after="120"/>
      </w:pPr>
      <w:r>
        <w:rPr>
          <w:rFonts w:ascii="Arial" w:hAnsi="Arial"/>
          <w:b/>
          <w:color w:val="1B365D"/>
          <w:sz w:val="30"/>
        </w:rPr>
        <w:t>References</w:t>
      </w:r>
    </w:p>
    <w:p>
      <w:pPr>
        <w:spacing w:after="60"/>
        <w:ind w:left="360"/>
      </w:pPr>
      <w:r>
        <w:t>Breiman, L. (2001). Random Forests. Machine Learning, 45(1), 5-32.</w:t>
      </w:r>
    </w:p>
    <w:p>
      <w:pPr>
        <w:spacing w:after="60"/>
        <w:ind w:left="360"/>
      </w:pPr>
      <w:r>
        <w:t>Friedman, J. H. (2001). Greedy function approximation: a gradient boosting machine. Annals of Statistics, 1189-1232.</w:t>
      </w:r>
    </w:p>
    <w:p>
      <w:pPr>
        <w:spacing w:after="60"/>
        <w:ind w:left="360"/>
      </w:pPr>
      <w:r>
        <w:t>European Space Agency (ESA). Sentinel-2 User Handbook. Standard Earth Observation Reference Documents.</w:t>
      </w:r>
    </w:p>
    <w:p>
      <w:pPr>
        <w:spacing w:after="60"/>
        <w:ind w:left="360"/>
      </w:pPr>
      <w:r>
        <w:t>Lobell, D. B., et al. (2015). The influence of climate on global crop productivity. Science, 333(6042), 616-620.</w:t>
      </w:r>
    </w:p>
    <w:p>
      <w:pPr>
        <w:spacing w:after="60"/>
        <w:ind w:left="360"/>
      </w:pPr>
      <w:r>
        <w:t>You, J., et al. (2017). Deep Gaussian Processes for Crop Yield Prediction Based on Remote Sensing Data. AAAI Conference on Human Computation and Crowdsourcing.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