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HirePerfect — Detailed Assessment Reporting Showcase</w:t>
      </w:r>
    </w:p>
    <w:p>
      <w:pPr>
        <w:spacing w:after="300"/>
      </w:pPr>
      <w:r>
        <w:rPr>
          <w:i/>
          <w:iCs/>
          <w:color w:val="4B5563"/>
        </w:rPr>
        <w:t xml:space="preserve">Platform Architecture, Verification &amp; Visual Audit</w:t>
      </w:r>
    </w:p>
    <w:p>
      <w:pPr>
        <w:pStyle w:val="Heading1"/>
        <w:spacing w:after="120" w:before="200"/>
      </w:pPr>
      <w:r>
        <w:t xml:space="preserve">Executive Overview</w:t>
      </w:r>
    </w:p>
    <w:p>
      <w:pPr>
        <w:spacing w:after="240"/>
      </w:pPr>
      <w:r>
        <w:t xml:space="preserve">The HirePerfect Detailed Assessment Reporting Architecture delivers a defensible, multi-dimensional diagnostic report following every completed assessment. The platform strictly decouples subject-matter competency from AI proctoring signals, enforces statistical suppression rules to eliminate noisy data, and maintains immutable, versioned report records.</w:t>
      </w:r>
    </w:p>
    <w:p>
      <w:pPr>
        <w:pStyle w:val="Heading1"/>
        <w:spacing w:after="120" w:before="300"/>
      </w:pPr>
      <w:r>
        <w:t xml:space="preserve">1. Candidate / User View (/results/[attemptId])</w:t>
      </w:r>
    </w:p>
    <w:p>
      <w:pPr>
        <w:spacing w:after="200"/>
      </w:pPr>
      <w:r>
        <w:t xml:space="preserve">The candidate report provides an actionable breakdown of performance across topic areas, pacing behaviors, and integrity status without overwhelming the user.</w:t>
      </w:r>
    </w:p>
    <w:p>
      <w:pPr>
        <w:pStyle w:val="Heading2"/>
        <w:spacing w:after="120" w:before="160"/>
      </w:pPr>
      <w:r>
        <w:t xml:space="preserve">Figure 1: Candidate Desktop Report (1440px Viewport)</w:t>
      </w:r>
    </w:p>
    <w:p>
      <w:pPr>
        <w:spacing w:after="240"/>
      </w:pPr>
      <w:r>
        <w:drawing>
          <wp:inline distT="0" distB="0" distL="0" distR="0">
            <wp:extent cx="5524500" cy="1047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047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160"/>
      </w:pPr>
      <w:r>
        <w:t xml:space="preserve">Figure 2: Candidate Mobile Responsive View (390px Viewport)</w:t>
      </w:r>
    </w:p>
    <w:p>
      <w:pPr>
        <w:spacing w:after="240"/>
      </w:pPr>
      <w:r>
        <w:drawing>
          <wp:inline distT="0" distB="0" distL="0" distR="0">
            <wp:extent cx="3238500" cy="809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809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00"/>
      </w:pPr>
      <w:r>
        <w:t xml:space="preserve">Candidate Report Components &amp; Score Basis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E5E7EB" w:sz="1"/>
          <w:insideV w:val="single" w:color="E5E7EB" w:sz="1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fill="F3F4F6" w:val="clear"/>
          </w:tcPr>
          <w:p>
            <w:r>
              <w:rPr>
                <w:b/>
                <w:bCs/>
              </w:rPr>
              <w:t xml:space="preserve">Section</w:t>
            </w:r>
          </w:p>
        </w:tc>
        <w:tc>
          <w:tcPr>
            <w:tcW w:type="pct" w:w="35%"/>
            <w:shd w:fill="F3F4F6" w:val="clear"/>
          </w:tcPr>
          <w:p>
            <w:r>
              <w:rPr>
                <w:b/>
                <w:bCs/>
              </w:rPr>
              <w:t xml:space="preserve">Displayed Content</w:t>
            </w:r>
          </w:p>
        </w:tc>
        <w:tc>
          <w:tcPr>
            <w:tcW w:type="pct" w:w="40%"/>
            <w:shd w:fill="F3F4F6" w:val="clear"/>
          </w:tcPr>
          <w:p>
            <w:r>
              <w:rPr>
                <w:b/>
                <w:bCs/>
              </w:rPr>
              <w:t xml:space="preserve">Underlying Math &amp; Basis</w:t>
            </w:r>
          </w:p>
        </w:tc>
      </w:tr>
      <w:tr>
        <w:tc>
          <w:p>
            <w:r>
              <w:t xml:space="preserve">1. Outcome Header</w:t>
            </w:r>
          </w:p>
        </w:tc>
        <w:tc>
          <w:p>
            <w:r>
              <w:t xml:space="preserve">Raw score (e.g. 50/50), percentage (100%), and Proficiency Band chip (Expert).</w:t>
            </w:r>
          </w:p>
        </w:tc>
        <w:tc>
          <w:p>
            <w:r>
              <w:t xml:space="preserve">Percentage = round(rawScore / maxScore * 100, 1). Bands: Expert (85-100%), Proficient (70-84%), Developing (55-69%), Foundational (0-54%).</w:t>
            </w:r>
          </w:p>
        </w:tc>
      </w:tr>
      <w:tr>
        <w:tc>
          <w:p>
            <w:r>
              <w:t xml:space="preserve">2. Methodology Panel</w:t>
            </w:r>
          </w:p>
        </w:tc>
        <w:tc>
          <w:p>
            <w:r>
              <w:t xml:space="preserve">Marks per correct (+1 pt), Negative marking (0 pt), Pass threshold (60%), Difficulty weighting (Flat marks).</w:t>
            </w:r>
          </w:p>
        </w:tc>
        <w:tc>
          <w:p>
            <w:r>
              <w:t xml:space="preserve">Config-driven transparency. Clearly explains unanswered questions score 0 and proctoring never alters test percentage.</w:t>
            </w:r>
          </w:p>
        </w:tc>
      </w:tr>
      <w:tr>
        <w:tc>
          <w:p>
            <w:r>
              <w:t xml:space="preserve">3. Topic Breakdown</w:t>
            </w:r>
          </w:p>
        </w:tc>
        <w:tc>
          <w:p>
            <w:r>
              <w:t xml:space="preserve">Sub-skill mastery bars with low-confidence suppression tags.</w:t>
            </w:r>
          </w:p>
        </w:tc>
        <w:tc>
          <w:p>
            <w:r>
              <w:t xml:space="preserve">Minimum-Sample Gate: Topics with &lt;4 questions suppress percentage, show raw count ("1 of 1"), and explain low sample size.</w:t>
            </w:r>
          </w:p>
        </w:tc>
      </w:tr>
      <w:tr>
        <w:tc>
          <w:p>
            <w:r>
              <w:t xml:space="preserve">4. Timing Analysis</w:t>
            </w:r>
          </w:p>
        </w:tc>
        <w:tc>
          <w:p>
            <w:r>
              <w:t xml:space="preserve">Visual question pace strip (Q1-Q50), median response duration, rushed answer count.</w:t>
            </w:r>
          </w:p>
        </w:tc>
        <w:tc>
          <w:p>
            <w:r>
              <w:t xml:space="preserve">Server-derived timestamps. Rushed = duration &lt;8s. Unreliable timing clamp at 600s.</w:t>
            </w:r>
          </w:p>
        </w:tc>
      </w:tr>
      <w:tr>
        <w:tc>
          <w:p>
            <w:r>
              <w:t xml:space="preserve">5. Cohort Benchmark</w:t>
            </w:r>
          </w:p>
        </w:tc>
        <w:tc>
          <w:p>
            <w:r>
              <w:t xml:space="preserve">Percentile ranking relative to verified completed attempts.</w:t>
            </w:r>
          </w:p>
        </w:tc>
        <w:tc>
          <w:p>
            <w:r>
              <w:t xml:space="preserve">Normal CDF modeling. Suppressed when cohort &lt;30 attempts, showing exact sample count instead.</w:t>
            </w:r>
          </w:p>
        </w:tc>
      </w:tr>
      <w:tr>
        <w:tc>
          <w:p>
            <w:r>
              <w:t xml:space="preserve">6. Integrity Record</w:t>
            </w:r>
          </w:p>
        </w:tc>
        <w:tc>
          <w:p>
            <w:r>
              <w:t xml:space="preserve">GuardEye verification tier (Clean, Needs Review, Major) and coverage duration.</w:t>
            </w:r>
          </w:p>
        </w:tc>
        <w:tc>
          <w:p>
            <w:r>
              <w:t xml:space="preserve">Independent monitoring heuristic. Signals are strictly decoupled and never deduct test marks.</w:t>
            </w:r>
          </w:p>
        </w:tc>
      </w:tr>
    </w:tbl>
    <w:p>
      <w:pPr>
        <w:pStyle w:val="Heading1"/>
        <w:spacing w:after="120" w:before="300"/>
      </w:pPr>
      <w:r>
        <w:t xml:space="preserve">2. Admin / Recruiter Diagnostic View (/admin/attempts/[attemptId])</w:t>
      </w:r>
    </w:p>
    <w:p>
      <w:pPr>
        <w:spacing w:after="200"/>
      </w:pPr>
      <w:r>
        <w:t xml:space="preserve">The administrator diagnostic screen gives recruiters an item-level question audit table, answer keys, response durations, persistent recruiter notes, and verification workflows.</w:t>
      </w:r>
    </w:p>
    <w:p>
      <w:pPr>
        <w:pStyle w:val="Heading2"/>
        <w:spacing w:after="120" w:before="160"/>
      </w:pPr>
      <w:r>
        <w:t xml:space="preserve">Figure 3: Admin Diagnostic Audit &amp; 50-Question Response Table</w:t>
      </w:r>
    </w:p>
    <w:p>
      <w:pPr>
        <w:spacing w:after="240"/>
      </w:pPr>
      <w:r>
        <w:drawing>
          <wp:inline distT="0" distB="0" distL="0" distR="0">
            <wp:extent cx="5524500" cy="1047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047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00"/>
      </w:pPr>
      <w:r>
        <w:t xml:space="preserve">Admin-Specific Capabilities &amp; Controls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E5E7EB" w:sz="1"/>
          <w:insideV w:val="single" w:color="E5E7EB" w:sz="1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shd w:fill="F3F4F6" w:val="clear"/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pct" w:w="40%"/>
            <w:shd w:fill="F3F4F6" w:val="clear"/>
          </w:tcPr>
          <w:p>
            <w:r>
              <w:rPr>
                <w:b/>
                <w:bCs/>
              </w:rPr>
              <w:t xml:space="preserve">Admin Capability</w:t>
            </w:r>
          </w:p>
        </w:tc>
        <w:tc>
          <w:tcPr>
            <w:tcW w:type="pct" w:w="30%"/>
            <w:shd w:fill="F3F4F6" w:val="clear"/>
          </w:tcPr>
          <w:p>
            <w:r>
              <w:rPr>
                <w:b/>
                <w:bCs/>
              </w:rPr>
              <w:t xml:space="preserve">Candidate Policy Difference</w:t>
            </w:r>
          </w:p>
        </w:tc>
      </w:tr>
      <w:tr>
        <w:tc>
          <w:p>
            <w:r>
              <w:t xml:space="preserve">Full Question Audit Table</w:t>
            </w:r>
          </w:p>
        </w:tc>
        <w:tc>
          <w:p>
            <w:r>
              <w:t xml:space="preserve">Inspects topic, difficulty, candidate choice, unmasked correct answer, duration, and revision count per question.</w:t>
            </w:r>
          </w:p>
        </w:tc>
        <w:tc>
          <w:p>
            <w:r>
              <w:t xml:space="preserve">Correct options are hidden from candidates to prevent question bank leaks.</w:t>
            </w:r>
          </w:p>
        </w:tc>
      </w:tr>
      <w:tr>
        <w:tc>
          <w:p>
            <w:r>
              <w:t xml:space="preserve">Interactive Filters</w:t>
            </w:r>
          </w:p>
        </w:tc>
        <w:tc>
          <w:p>
            <w:r>
              <w:t xml:space="preserve">Filter by topic, incorrect answers, rushed answers (&lt;8s), and unanswered questions.</w:t>
            </w:r>
          </w:p>
        </w:tc>
        <w:tc>
          <w:p>
            <w:r>
              <w:t xml:space="preserve">Recruiters can quickly diagnose specific domain gaps.</w:t>
            </w:r>
          </w:p>
        </w:tc>
      </w:tr>
      <w:tr>
        <w:tc>
          <w:p>
            <w:r>
              <w:t xml:space="preserve">Reviewer Notes &amp; Verification</w:t>
            </w:r>
          </w:p>
        </w:tc>
        <w:tc>
          <w:p>
            <w:r>
              <w:t xml:space="preserve">Save internal hiring notes and click "Mark as Reviewed" with audit logging.</w:t>
            </w:r>
          </w:p>
        </w:tc>
        <w:tc>
          <w:p>
            <w:r>
              <w:t xml:space="preserve">Internal to hiring teams only.</w:t>
            </w:r>
          </w:p>
        </w:tc>
      </w:tr>
      <w:tr>
        <w:tc>
          <w:p>
            <w:r>
              <w:t xml:space="preserve">Immutable Recomputation</w:t>
            </w:r>
          </w:p>
        </w:tc>
        <w:tc>
          <w:p>
            <w:r>
              <w:t xml:space="preserve">Trigger recomputation creating version v2 without destroying historical records.</w:t>
            </w:r>
          </w:p>
        </w:tc>
        <w:tc>
          <w:p>
            <w:r>
              <w:t xml:space="preserve">Candidate sees latest active version while history is preserved.</w:t>
            </w:r>
          </w:p>
        </w:tc>
      </w:tr>
    </w:tbl>
    <w:p>
      <w:pPr>
        <w:pStyle w:val="Heading1"/>
        <w:spacing w:after="120" w:before="300"/>
      </w:pPr>
      <w:r>
        <w:t xml:space="preserve">3. Core Architectural Principles</w:t>
      </w:r>
    </w:p>
    <w:p>
      <w:pPr>
        <w:spacing w:after="120"/>
      </w:pPr>
      <w:r>
        <w:rPr>
          <w:b/>
          <w:bCs/>
        </w:rPr>
        <w:t xml:space="preserve">1. Zero Score Merging: </w:t>
      </w:r>
      <w:r>
        <w:t xml:space="preserve">Integrity flags and skill percentages are strictly decoupled. A proctoring anomaly never lowers a test score; human reviewers make the final decision.</w:t>
      </w:r>
    </w:p>
    <w:p>
      <w:pPr>
        <w:spacing w:after="120"/>
      </w:pPr>
      <w:r>
        <w:rPr>
          <w:b/>
          <w:bCs/>
        </w:rPr>
        <w:t xml:space="preserve">2. Statistical Suppression: </w:t>
      </w:r>
      <w:r>
        <w:t xml:space="preserve">Scores are never reported on insufficient sample sizes. Topics with &lt;4 questions and cohorts with &lt;30 attempts are suppressed with honest notices.</w:t>
      </w:r>
    </w:p>
    <w:p>
      <w:pPr>
        <w:spacing w:after="120"/>
      </w:pPr>
      <w:r>
        <w:rPr>
          <w:b/>
          <w:bCs/>
        </w:rPr>
        <w:t xml:space="preserve">3. Deterministic &amp; Pure Engine: </w:t>
      </w:r>
      <w:r>
        <w:t xml:space="preserve">Scoring calculators are pure functions. Identical attempt data and configuration versions always generate byte-identical report JSON.</w:t>
      </w:r>
    </w:p>
    <w:p>
      <w:pPr>
        <w:spacing w:after="240"/>
      </w:pPr>
      <w:r>
        <w:rPr>
          <w:b/>
          <w:bCs/>
        </w:rPr>
        <w:t xml:space="preserve">4. Immutable Versioned Reports: </w:t>
      </w:r>
      <w:r>
        <w:t xml:space="preserve">Published reports are stored as versioned records. Recomputations create version v2 and supersede old records rather than mutating existing data.</w:t>
      </w:r>
    </w:p>
    <w:p>
      <w:pPr>
        <w:pStyle w:val="Heading1"/>
        <w:spacing w:after="120" w:before="200"/>
      </w:pPr>
      <w:r>
        <w:t xml:space="preserve">4. Performance &amp; Test Verification Summary</w:t>
      </w:r>
    </w:p>
    <w:p>
      <w:pPr>
        <w:spacing w:after="80"/>
      </w:pPr>
      <w:r>
        <w:rPr>
          <w:b/>
          <w:bCs/>
        </w:rPr>
        <w:t xml:space="preserve">• Unit Test Suite: </w:t>
      </w:r>
      <w:r>
        <w:t xml:space="preserve">12 / 12 tests passed covering all calculators, edge cases, suppression gates, and anti-tampering rules.</w:t>
      </w:r>
    </w:p>
    <w:p>
      <w:pPr>
        <w:spacing w:after="80"/>
      </w:pPr>
      <w:r>
        <w:rPr>
          <w:b/>
          <w:bCs/>
        </w:rPr>
        <w:t xml:space="preserve">• Engine Latency: </w:t>
      </w:r>
      <w:r>
        <w:t xml:space="preserve">p50 = 0.021 ms, p95 = 0.062 ms (well below 500 ms target threshold).</w:t>
      </w:r>
    </w:p>
    <w:p>
      <w:pPr>
        <w:spacing w:after="200"/>
      </w:pPr>
      <w:r>
        <w:rPr>
          <w:b/>
          <w:bCs/>
        </w:rPr>
        <w:t xml:space="preserve">• TypeScript Type Check: </w:t>
      </w:r>
      <w:r>
        <w:t xml:space="preserve">0 errors across the entire codebase.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bcf81538a88011db19b7888dd050b474af2e719.png"/><Relationship Id="rId8" Type="http://schemas.openxmlformats.org/officeDocument/2006/relationships/image" Target="media/9acb064f4e183dc4930b0cb304501a3186986991.png"/><Relationship Id="rId9" Type="http://schemas.openxmlformats.org/officeDocument/2006/relationships/image" Target="media/63615b35ad5ee2d4711ae1637c4f1ccba29f0e9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2026-09-18T07:14:22.384Z</dcterms:created>
  <dcterms:modified xsi:type="dcterms:W3CDTF">2026-09-18T07:14:22.385Z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