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937"/>
          <w:sz w:val="40"/>
          <w:szCs w:val="40"/>
        </w:rPr>
        <w:t xml:space="preserve">PRODUCTION READINESS, SECURITY &amp; PERFORMANCE AUDIT</w:t>
      </w:r>
    </w:p>
    <w:p>
      <w:pPr>
        <w:spacing w:after="260"/>
      </w:pPr>
      <w:r>
        <w:rPr>
          <w:color w:val="475569"/>
          <w:sz w:val="26"/>
          <w:szCs w:val="26"/>
        </w:rPr>
        <w:t xml:space="preserve">Lead Management CRM</w:t>
      </w:r>
    </w:p>
    <w:p>
      <w:pPr>
        <w:spacing w:after="40"/>
      </w:pPr>
      <w:r>
        <w:rPr>
          <w:b/>
          <w:bCs/>
          <w:sz w:val="20"/>
          <w:szCs w:val="20"/>
        </w:rPr>
        <w:t xml:space="preserve">Date: </w:t>
      </w:r>
      <w:r>
        <w:rPr>
          <w:sz w:val="20"/>
          <w:szCs w:val="20"/>
        </w:rPr>
        <w:t xml:space="preserve">July 28, 2026</w:t>
      </w:r>
      <w:r>
        <w:rPr>
          <w:b/>
          <w:bCs/>
          <w:sz w:val="20"/>
          <w:szCs w:val="20"/>
        </w:rPr>
        <w:t xml:space="preserve">        Prepared by: </w:t>
      </w:r>
      <w:r>
        <w:rPr>
          <w:sz w:val="20"/>
          <w:szCs w:val="20"/>
        </w:rPr>
        <w:t xml:space="preserve">Engineering (Claude Code)</w:t>
      </w:r>
    </w:p>
    <w:p>
      <w:pPr>
        <w:pBdr>
          <w:bottom w:val="single" w:color="D1D5DB" w:sz="6"/>
        </w:pBdr>
        <w:spacing w:after="120" w:before="120"/>
      </w:pPr>
    </w:p>
    <w:p>
      <w:pPr>
        <w:pStyle w:val="Heading1"/>
        <w:spacing w:after="160" w:before="360"/>
      </w:pPr>
      <w:r>
        <w:rPr>
          <w:b/>
          <w:bCs/>
          <w:color w:val="1F2937"/>
          <w:sz w:val="30"/>
          <w:szCs w:val="30"/>
        </w:rPr>
        <w:t xml:space="preserve">Executive Summary</w:t>
      </w:r>
    </w:p>
    <w:p>
      <w:pPr>
        <w:spacing w:after="160" w:line="300"/>
      </w:pPr>
      <w:r>
        <w:rPr>
          <w:color w:val="1F2937"/>
          <w:sz w:val="21"/>
          <w:szCs w:val="21"/>
        </w:rPr>
        <w:t xml:space="preserve">This report covers a full production-readiness pass on the Lead Management CRM: verifying the latest deployment, a security audit of the entire backend, a performance audit, and remediation of everything found. It picks up directly from a prior session that shipped a critical fix for bulk uploads silently failing on production — that fix was verified live in production before this audit began.</w:t>
      </w:r>
    </w:p>
    <w:p>
      <w:pPr>
        <w:spacing w:after="160" w:line="300"/>
      </w:pPr>
      <w:r>
        <w:rPr>
          <w:color w:val="1F2937"/>
          <w:sz w:val="21"/>
          <w:szCs w:val="21"/>
        </w:rPr>
        <w:t xml:space="preserve">The security and performance audits identified 5 critical, 6 high, 11 medium, and 7 low-severity security issues, plus 5 performance issues. All 5 critical, all 6 high, and the large majority of medium/low findings have been fixed in code today and verified. A small number of items require action outside the codebase — credential rotation, provisioning a cache service, and one hosting-platform setting — detailed under “Action Required” below.</w:t>
      </w:r>
    </w:p>
    <w:p>
      <w:pPr>
        <w:spacing w:after="160" w:line="300"/>
      </w:pPr>
      <w:r>
        <w:rPr>
          <w:i/>
          <w:iCs/>
          <w:color w:val="475569"/>
          <w:sz w:val="21"/>
          <w:szCs w:val="21"/>
        </w:rPr>
        <w:t xml:space="preserve">All changes were verified with the existing automated test suite (84/86 tests passing — the 2 failures are pre-existing and confirmed unrelated to this work) and by booting the application end-to-end against the live database to confirm login, permissions, and access control all behave correctly after the changes.</w:t>
      </w:r>
    </w:p>
    <w:p>
      <w:pPr>
        <w:pStyle w:val="Heading1"/>
        <w:spacing w:after="160" w:before="360"/>
      </w:pPr>
      <w:r>
        <w:rPr>
          <w:b/>
          <w:bCs/>
          <w:color w:val="1F2937"/>
          <w:sz w:val="30"/>
          <w:szCs w:val="30"/>
        </w:rPr>
        <w:t xml:space="preserve">1. Deployment Verification</w:t>
      </w:r>
    </w:p>
    <w:p>
      <w:pPr>
        <w:spacing w:after="160" w:line="300"/>
      </w:pPr>
      <w:r>
        <w:rPr>
          <w:color w:val="1F2937"/>
          <w:sz w:val="21"/>
          <w:szCs w:val="21"/>
        </w:rPr>
        <w:t xml:space="preserve">Confirmed the production deployment is running the exact commit containing the previously-shipped critical fix (bulk CSV/Excel uploads no longer silently strand at "processing" with zero rows saved on large files) — checked via the live health endpoint against the local repository’s latest commit at the time. No stale-deployment risk.</w:t>
      </w:r>
    </w:p>
    <w:p>
      <w:pPr>
        <w:pStyle w:val="Heading1"/>
        <w:spacing w:after="160" w:before="360"/>
      </w:pPr>
      <w:r>
        <w:rPr>
          <w:b/>
          <w:bCs/>
          <w:color w:val="1F2937"/>
          <w:sz w:val="30"/>
          <w:szCs w:val="30"/>
        </w:rPr>
        <w:t xml:space="preserve">2. Findings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000"/>
        <w:gridCol w:w="2600"/>
        <w:gridCol w:w="1600"/>
      </w:tblGrid>
      <w:tr>
        <w:trPr>
          <w:tblHeader/>
        </w:trPr>
        <w:tc>
          <w:tcPr>
            <w:tcW w:type="dxa" w:w="1600"/>
            <w:shd w:fill="1F2937" w:val="clear"/>
            <w:tcMar>
              <w:top w:type="dxa" w:w="80"/>
              <w:left w:type="dxa" w:w="100"/>
              <w:bottom w:type="dxa" w:w="80"/>
              <w:right w:type="dxa" w:w="100"/>
            </w:tcMar>
            <w:vAlign w:val="center"/>
          </w:tcPr>
          <w:p>
            <w:pPr>
              <w:jc w:val="left"/>
            </w:pPr>
            <w:r>
              <w:rPr>
                <w:b/>
                <w:bCs/>
                <w:color w:val="FFFFFF"/>
                <w:sz w:val="19"/>
                <w:szCs w:val="19"/>
              </w:rPr>
              <w:t xml:space="preserve">Severity</w:t>
            </w:r>
          </w:p>
        </w:tc>
        <w:tc>
          <w:tcPr>
            <w:tcW w:type="dxa" w:w="1700"/>
            <w:shd w:fill="1F2937" w:val="clear"/>
            <w:tcMar>
              <w:top w:type="dxa" w:w="80"/>
              <w:left w:type="dxa" w:w="100"/>
              <w:bottom w:type="dxa" w:w="80"/>
              <w:right w:type="dxa" w:w="100"/>
            </w:tcMar>
            <w:vAlign w:val="center"/>
          </w:tcPr>
          <w:p>
            <w:pPr>
              <w:jc w:val="left"/>
            </w:pPr>
            <w:r>
              <w:rPr>
                <w:b/>
                <w:bCs/>
                <w:color w:val="FFFFFF"/>
                <w:sz w:val="19"/>
                <w:szCs w:val="19"/>
              </w:rPr>
              <w:t xml:space="preserve">Total Found</w:t>
            </w:r>
          </w:p>
        </w:tc>
        <w:tc>
          <w:tcPr>
            <w:tcW w:type="dxa" w:w="2000"/>
            <w:shd w:fill="1F2937" w:val="clear"/>
            <w:tcMar>
              <w:top w:type="dxa" w:w="80"/>
              <w:left w:type="dxa" w:w="100"/>
              <w:bottom w:type="dxa" w:w="80"/>
              <w:right w:type="dxa" w:w="100"/>
            </w:tcMar>
            <w:vAlign w:val="center"/>
          </w:tcPr>
          <w:p>
            <w:pPr>
              <w:jc w:val="left"/>
            </w:pPr>
            <w:r>
              <w:rPr>
                <w:b/>
                <w:bCs/>
                <w:color w:val="FFFFFF"/>
                <w:sz w:val="19"/>
                <w:szCs w:val="19"/>
              </w:rPr>
              <w:t xml:space="preserve">Fixed in Code</w:t>
            </w:r>
          </w:p>
        </w:tc>
        <w:tc>
          <w:tcPr>
            <w:tcW w:type="dxa" w:w="2600"/>
            <w:shd w:fill="1F2937" w:val="clear"/>
            <w:tcMar>
              <w:top w:type="dxa" w:w="80"/>
              <w:left w:type="dxa" w:w="100"/>
              <w:bottom w:type="dxa" w:w="80"/>
              <w:right w:type="dxa" w:w="100"/>
            </w:tcMar>
            <w:vAlign w:val="center"/>
          </w:tcPr>
          <w:p>
            <w:pPr>
              <w:jc w:val="left"/>
            </w:pPr>
            <w:r>
              <w:rPr>
                <w:b/>
                <w:bCs/>
                <w:color w:val="FFFFFF"/>
                <w:sz w:val="19"/>
                <w:szCs w:val="19"/>
              </w:rPr>
              <w:t xml:space="preserve">Needs Your Action</w:t>
            </w:r>
          </w:p>
        </w:tc>
        <w:tc>
          <w:tcPr>
            <w:tcW w:type="dxa" w:w="1600"/>
            <w:shd w:fill="1F2937" w:val="clear"/>
            <w:tcMar>
              <w:top w:type="dxa" w:w="80"/>
              <w:left w:type="dxa" w:w="100"/>
              <w:bottom w:type="dxa" w:w="80"/>
              <w:right w:type="dxa" w:w="100"/>
            </w:tcMar>
            <w:vAlign w:val="center"/>
          </w:tcPr>
          <w:p>
            <w:pPr>
              <w:jc w:val="left"/>
            </w:pPr>
            <w:r>
              <w:rPr>
                <w:b/>
                <w:bCs/>
                <w:color w:val="FFFFFF"/>
                <w:sz w:val="19"/>
                <w:szCs w:val="19"/>
              </w:rPr>
              <w:t xml:space="preserve">Deferred</w:t>
            </w:r>
          </w:p>
        </w:tc>
      </w:tr>
      <w:tr>
        <w:tc>
          <w:tcPr>
            <w:tcW w:type="dxa" w:w="1600"/>
            <w:tcMar>
              <w:top w:type="dxa" w:w="80"/>
              <w:left w:type="dxa" w:w="100"/>
              <w:bottom w:type="dxa" w:w="80"/>
              <w:right w:type="dxa" w:w="100"/>
            </w:tcMar>
            <w:vAlign w:val="center"/>
          </w:tcPr>
          <w:p>
            <w:pPr>
              <w:jc w:val="left"/>
            </w:pPr>
            <w:r>
              <w:rPr>
                <w:b/>
                <w:bCs/>
                <w:color w:val="B91C1C"/>
                <w:sz w:val="19"/>
                <w:szCs w:val="19"/>
              </w:rPr>
              <w:t xml:space="preserve">Critical</w:t>
            </w:r>
          </w:p>
        </w:tc>
        <w:tc>
          <w:tcPr>
            <w:tcW w:type="dxa" w:w="1700"/>
            <w:tcMar>
              <w:top w:type="dxa" w:w="80"/>
              <w:left w:type="dxa" w:w="100"/>
              <w:bottom w:type="dxa" w:w="80"/>
              <w:right w:type="dxa" w:w="100"/>
            </w:tcMar>
            <w:vAlign w:val="center"/>
          </w:tcPr>
          <w:p>
            <w:pPr>
              <w:jc w:val="left"/>
            </w:pPr>
            <w:r>
              <w:rPr>
                <w:b w:val="false"/>
                <w:bCs w:val="false"/>
                <w:color w:val="1F2937"/>
                <w:sz w:val="19"/>
                <w:szCs w:val="19"/>
              </w:rPr>
              <w:t xml:space="preserve">5</w:t>
            </w:r>
          </w:p>
        </w:tc>
        <w:tc>
          <w:tcPr>
            <w:tcW w:type="dxa" w:w="2000"/>
            <w:tcMar>
              <w:top w:type="dxa" w:w="80"/>
              <w:left w:type="dxa" w:w="100"/>
              <w:bottom w:type="dxa" w:w="80"/>
              <w:right w:type="dxa" w:w="100"/>
            </w:tcMar>
            <w:vAlign w:val="center"/>
          </w:tcPr>
          <w:p>
            <w:pPr>
              <w:jc w:val="left"/>
            </w:pPr>
            <w:r>
              <w:rPr>
                <w:b w:val="false"/>
                <w:bCs w:val="false"/>
                <w:color w:val="1F2937"/>
                <w:sz w:val="19"/>
                <w:szCs w:val="19"/>
              </w:rPr>
              <w:t xml:space="preserve">4</w:t>
            </w:r>
          </w:p>
        </w:tc>
        <w:tc>
          <w:tcPr>
            <w:tcW w:type="dxa" w:w="2600"/>
            <w:tcMar>
              <w:top w:type="dxa" w:w="80"/>
              <w:left w:type="dxa" w:w="100"/>
              <w:bottom w:type="dxa" w:w="80"/>
              <w:right w:type="dxa" w:w="100"/>
            </w:tcMar>
            <w:vAlign w:val="center"/>
          </w:tcPr>
          <w:p>
            <w:pPr>
              <w:jc w:val="left"/>
            </w:pPr>
            <w:r>
              <w:rPr>
                <w:b w:val="false"/>
                <w:bCs w:val="false"/>
                <w:color w:val="1F2937"/>
                <w:sz w:val="19"/>
                <w:szCs w:val="19"/>
              </w:rPr>
              <w:t xml:space="preserve">1</w:t>
            </w:r>
          </w:p>
        </w:tc>
        <w:tc>
          <w:tcPr>
            <w:tcW w:type="dxa" w:w="1600"/>
            <w:tcMar>
              <w:top w:type="dxa" w:w="80"/>
              <w:left w:type="dxa" w:w="100"/>
              <w:bottom w:type="dxa" w:w="80"/>
              <w:right w:type="dxa" w:w="100"/>
            </w:tcMar>
            <w:vAlign w:val="center"/>
          </w:tcPr>
          <w:p>
            <w:pPr>
              <w:jc w:val="left"/>
            </w:pPr>
            <w:r>
              <w:rPr>
                <w:b w:val="false"/>
                <w:bCs w:val="false"/>
                <w:color w:val="1F2937"/>
                <w:sz w:val="19"/>
                <w:szCs w:val="19"/>
              </w:rPr>
              <w:t xml:space="preserve">0</w:t>
            </w:r>
          </w:p>
        </w:tc>
      </w:tr>
      <w:tr>
        <w:tc>
          <w:tcPr>
            <w:tcW w:type="dxa" w:w="1600"/>
            <w:shd w:fill="F3F4F6" w:val="clear"/>
            <w:tcMar>
              <w:top w:type="dxa" w:w="80"/>
              <w:left w:type="dxa" w:w="100"/>
              <w:bottom w:type="dxa" w:w="80"/>
              <w:right w:type="dxa" w:w="100"/>
            </w:tcMar>
            <w:vAlign w:val="center"/>
          </w:tcPr>
          <w:p>
            <w:pPr>
              <w:jc w:val="left"/>
            </w:pPr>
            <w:r>
              <w:rPr>
                <w:b/>
                <w:bCs/>
                <w:color w:val="C2410C"/>
                <w:sz w:val="19"/>
                <w:szCs w:val="19"/>
              </w:rPr>
              <w:t xml:space="preserve">High</w:t>
            </w:r>
          </w:p>
        </w:tc>
        <w:tc>
          <w:tcPr>
            <w:tcW w:type="dxa" w:w="1700"/>
            <w:shd w:fill="F3F4F6" w:val="clear"/>
            <w:tcMar>
              <w:top w:type="dxa" w:w="80"/>
              <w:left w:type="dxa" w:w="100"/>
              <w:bottom w:type="dxa" w:w="80"/>
              <w:right w:type="dxa" w:w="100"/>
            </w:tcMar>
            <w:vAlign w:val="center"/>
          </w:tcPr>
          <w:p>
            <w:pPr>
              <w:jc w:val="left"/>
            </w:pPr>
            <w:r>
              <w:rPr>
                <w:b w:val="false"/>
                <w:bCs w:val="false"/>
                <w:color w:val="1F2937"/>
                <w:sz w:val="19"/>
                <w:szCs w:val="19"/>
              </w:rPr>
              <w:t xml:space="preserve">6</w:t>
            </w:r>
          </w:p>
        </w:tc>
        <w:tc>
          <w:tcPr>
            <w:tcW w:type="dxa" w:w="2000"/>
            <w:shd w:fill="F3F4F6" w:val="clear"/>
            <w:tcMar>
              <w:top w:type="dxa" w:w="80"/>
              <w:left w:type="dxa" w:w="100"/>
              <w:bottom w:type="dxa" w:w="80"/>
              <w:right w:type="dxa" w:w="100"/>
            </w:tcMar>
            <w:vAlign w:val="center"/>
          </w:tcPr>
          <w:p>
            <w:pPr>
              <w:jc w:val="left"/>
            </w:pPr>
            <w:r>
              <w:rPr>
                <w:b w:val="false"/>
                <w:bCs w:val="false"/>
                <w:color w:val="1F2937"/>
                <w:sz w:val="19"/>
                <w:szCs w:val="19"/>
              </w:rPr>
              <w:t xml:space="preserve">6</w:t>
            </w:r>
          </w:p>
        </w:tc>
        <w:tc>
          <w:tcPr>
            <w:tcW w:type="dxa" w:w="2600"/>
            <w:shd w:fill="F3F4F6" w:val="clear"/>
            <w:tcMar>
              <w:top w:type="dxa" w:w="80"/>
              <w:left w:type="dxa" w:w="100"/>
              <w:bottom w:type="dxa" w:w="80"/>
              <w:right w:type="dxa" w:w="100"/>
            </w:tcMar>
            <w:vAlign w:val="center"/>
          </w:tcPr>
          <w:p>
            <w:pPr>
              <w:jc w:val="left"/>
            </w:pPr>
            <w:r>
              <w:rPr>
                <w:b w:val="false"/>
                <w:bCs w:val="false"/>
                <w:color w:val="1F2937"/>
                <w:sz w:val="19"/>
                <w:szCs w:val="19"/>
              </w:rPr>
              <w:t xml:space="preserve">0</w:t>
            </w:r>
          </w:p>
        </w:tc>
        <w:tc>
          <w:tcPr>
            <w:tcW w:type="dxa" w:w="1600"/>
            <w:shd w:fill="F3F4F6" w:val="clear"/>
            <w:tcMar>
              <w:top w:type="dxa" w:w="80"/>
              <w:left w:type="dxa" w:w="100"/>
              <w:bottom w:type="dxa" w:w="80"/>
              <w:right w:type="dxa" w:w="100"/>
            </w:tcMar>
            <w:vAlign w:val="center"/>
          </w:tcPr>
          <w:p>
            <w:pPr>
              <w:jc w:val="left"/>
            </w:pPr>
            <w:r>
              <w:rPr>
                <w:b w:val="false"/>
                <w:bCs w:val="false"/>
                <w:color w:val="1F2937"/>
                <w:sz w:val="19"/>
                <w:szCs w:val="19"/>
              </w:rPr>
              <w:t xml:space="preserve">0</w:t>
            </w:r>
          </w:p>
        </w:tc>
      </w:tr>
      <w:tr>
        <w:tc>
          <w:tcPr>
            <w:tcW w:type="dxa" w:w="1600"/>
            <w:tcMar>
              <w:top w:type="dxa" w:w="80"/>
              <w:left w:type="dxa" w:w="100"/>
              <w:bottom w:type="dxa" w:w="80"/>
              <w:right w:type="dxa" w:w="100"/>
            </w:tcMar>
            <w:vAlign w:val="center"/>
          </w:tcPr>
          <w:p>
            <w:pPr>
              <w:jc w:val="left"/>
            </w:pPr>
            <w:r>
              <w:rPr>
                <w:b/>
                <w:bCs/>
                <w:color w:val="B45309"/>
                <w:sz w:val="19"/>
                <w:szCs w:val="19"/>
              </w:rPr>
              <w:t xml:space="preserve">Medium</w:t>
            </w:r>
          </w:p>
        </w:tc>
        <w:tc>
          <w:tcPr>
            <w:tcW w:type="dxa" w:w="1700"/>
            <w:tcMar>
              <w:top w:type="dxa" w:w="80"/>
              <w:left w:type="dxa" w:w="100"/>
              <w:bottom w:type="dxa" w:w="80"/>
              <w:right w:type="dxa" w:w="100"/>
            </w:tcMar>
            <w:vAlign w:val="center"/>
          </w:tcPr>
          <w:p>
            <w:pPr>
              <w:jc w:val="left"/>
            </w:pPr>
            <w:r>
              <w:rPr>
                <w:b w:val="false"/>
                <w:bCs w:val="false"/>
                <w:color w:val="1F2937"/>
                <w:sz w:val="19"/>
                <w:szCs w:val="19"/>
              </w:rPr>
              <w:t xml:space="preserve">11</w:t>
            </w:r>
          </w:p>
        </w:tc>
        <w:tc>
          <w:tcPr>
            <w:tcW w:type="dxa" w:w="2000"/>
            <w:tcMar>
              <w:top w:type="dxa" w:w="80"/>
              <w:left w:type="dxa" w:w="100"/>
              <w:bottom w:type="dxa" w:w="80"/>
              <w:right w:type="dxa" w:w="100"/>
            </w:tcMar>
            <w:vAlign w:val="center"/>
          </w:tcPr>
          <w:p>
            <w:pPr>
              <w:jc w:val="left"/>
            </w:pPr>
            <w:r>
              <w:rPr>
                <w:b w:val="false"/>
                <w:bCs w:val="false"/>
                <w:color w:val="1F2937"/>
                <w:sz w:val="19"/>
                <w:szCs w:val="19"/>
              </w:rPr>
              <w:t xml:space="preserve">9</w:t>
            </w:r>
          </w:p>
        </w:tc>
        <w:tc>
          <w:tcPr>
            <w:tcW w:type="dxa" w:w="2600"/>
            <w:tcMar>
              <w:top w:type="dxa" w:w="80"/>
              <w:left w:type="dxa" w:w="100"/>
              <w:bottom w:type="dxa" w:w="80"/>
              <w:right w:type="dxa" w:w="100"/>
            </w:tcMar>
            <w:vAlign w:val="center"/>
          </w:tcPr>
          <w:p>
            <w:pPr>
              <w:jc w:val="left"/>
            </w:pPr>
            <w:r>
              <w:rPr>
                <w:b w:val="false"/>
                <w:bCs w:val="false"/>
                <w:color w:val="1F2937"/>
                <w:sz w:val="19"/>
                <w:szCs w:val="19"/>
              </w:rPr>
              <w:t xml:space="preserve">1</w:t>
            </w:r>
          </w:p>
        </w:tc>
        <w:tc>
          <w:tcPr>
            <w:tcW w:type="dxa" w:w="1600"/>
            <w:tcMar>
              <w:top w:type="dxa" w:w="80"/>
              <w:left w:type="dxa" w:w="100"/>
              <w:bottom w:type="dxa" w:w="80"/>
              <w:right w:type="dxa" w:w="100"/>
            </w:tcMar>
            <w:vAlign w:val="center"/>
          </w:tcPr>
          <w:p>
            <w:pPr>
              <w:jc w:val="left"/>
            </w:pPr>
            <w:r>
              <w:rPr>
                <w:b w:val="false"/>
                <w:bCs w:val="false"/>
                <w:color w:val="1F2937"/>
                <w:sz w:val="19"/>
                <w:szCs w:val="19"/>
              </w:rPr>
              <w:t xml:space="preserve">1</w:t>
            </w:r>
          </w:p>
        </w:tc>
      </w:tr>
      <w:tr>
        <w:tc>
          <w:tcPr>
            <w:tcW w:type="dxa" w:w="1600"/>
            <w:shd w:fill="F3F4F6" w:val="clear"/>
            <w:tcMar>
              <w:top w:type="dxa" w:w="80"/>
              <w:left w:type="dxa" w:w="100"/>
              <w:bottom w:type="dxa" w:w="80"/>
              <w:right w:type="dxa" w:w="100"/>
            </w:tcMar>
            <w:vAlign w:val="center"/>
          </w:tcPr>
          <w:p>
            <w:pPr>
              <w:jc w:val="left"/>
            </w:pPr>
            <w:r>
              <w:rPr>
                <w:b/>
                <w:bCs/>
                <w:color w:val="475569"/>
                <w:sz w:val="19"/>
                <w:szCs w:val="19"/>
              </w:rPr>
              <w:t xml:space="preserve">Low</w:t>
            </w:r>
          </w:p>
        </w:tc>
        <w:tc>
          <w:tcPr>
            <w:tcW w:type="dxa" w:w="1700"/>
            <w:shd w:fill="F3F4F6" w:val="clear"/>
            <w:tcMar>
              <w:top w:type="dxa" w:w="80"/>
              <w:left w:type="dxa" w:w="100"/>
              <w:bottom w:type="dxa" w:w="80"/>
              <w:right w:type="dxa" w:w="100"/>
            </w:tcMar>
            <w:vAlign w:val="center"/>
          </w:tcPr>
          <w:p>
            <w:pPr>
              <w:jc w:val="left"/>
            </w:pPr>
            <w:r>
              <w:rPr>
                <w:b w:val="false"/>
                <w:bCs w:val="false"/>
                <w:color w:val="1F2937"/>
                <w:sz w:val="19"/>
                <w:szCs w:val="19"/>
              </w:rPr>
              <w:t xml:space="preserve">7</w:t>
            </w:r>
          </w:p>
        </w:tc>
        <w:tc>
          <w:tcPr>
            <w:tcW w:type="dxa" w:w="2000"/>
            <w:shd w:fill="F3F4F6" w:val="clear"/>
            <w:tcMar>
              <w:top w:type="dxa" w:w="80"/>
              <w:left w:type="dxa" w:w="100"/>
              <w:bottom w:type="dxa" w:w="80"/>
              <w:right w:type="dxa" w:w="100"/>
            </w:tcMar>
            <w:vAlign w:val="center"/>
          </w:tcPr>
          <w:p>
            <w:pPr>
              <w:jc w:val="left"/>
            </w:pPr>
            <w:r>
              <w:rPr>
                <w:b w:val="false"/>
                <w:bCs w:val="false"/>
                <w:color w:val="1F2937"/>
                <w:sz w:val="19"/>
                <w:szCs w:val="19"/>
              </w:rPr>
              <w:t xml:space="preserve">6</w:t>
            </w:r>
          </w:p>
        </w:tc>
        <w:tc>
          <w:tcPr>
            <w:tcW w:type="dxa" w:w="2600"/>
            <w:shd w:fill="F3F4F6" w:val="clear"/>
            <w:tcMar>
              <w:top w:type="dxa" w:w="80"/>
              <w:left w:type="dxa" w:w="100"/>
              <w:bottom w:type="dxa" w:w="80"/>
              <w:right w:type="dxa" w:w="100"/>
            </w:tcMar>
            <w:vAlign w:val="center"/>
          </w:tcPr>
          <w:p>
            <w:pPr>
              <w:jc w:val="left"/>
            </w:pPr>
            <w:r>
              <w:rPr>
                <w:b w:val="false"/>
                <w:bCs w:val="false"/>
                <w:color w:val="1F2937"/>
                <w:sz w:val="19"/>
                <w:szCs w:val="19"/>
              </w:rPr>
              <w:t xml:space="preserve">0</w:t>
            </w:r>
          </w:p>
        </w:tc>
        <w:tc>
          <w:tcPr>
            <w:tcW w:type="dxa" w:w="1600"/>
            <w:shd w:fill="F3F4F6" w:val="clear"/>
            <w:tcMar>
              <w:top w:type="dxa" w:w="80"/>
              <w:left w:type="dxa" w:w="100"/>
              <w:bottom w:type="dxa" w:w="80"/>
              <w:right w:type="dxa" w:w="100"/>
            </w:tcMar>
            <w:vAlign w:val="center"/>
          </w:tcPr>
          <w:p>
            <w:pPr>
              <w:jc w:val="left"/>
            </w:pPr>
            <w:r>
              <w:rPr>
                <w:b w:val="false"/>
                <w:bCs w:val="false"/>
                <w:color w:val="1F2937"/>
                <w:sz w:val="19"/>
                <w:szCs w:val="19"/>
              </w:rPr>
              <w:t xml:space="preserve">1</w:t>
            </w:r>
          </w:p>
        </w:tc>
      </w:tr>
      <w:tr>
        <w:tc>
          <w:tcPr>
            <w:tcW w:type="dxa" w:w="1600"/>
            <w:tcMar>
              <w:top w:type="dxa" w:w="80"/>
              <w:left w:type="dxa" w:w="100"/>
              <w:bottom w:type="dxa" w:w="80"/>
              <w:right w:type="dxa" w:w="100"/>
            </w:tcMar>
            <w:vAlign w:val="center"/>
          </w:tcPr>
          <w:p>
            <w:pPr>
              <w:jc w:val="left"/>
            </w:pPr>
            <w:r>
              <w:rPr>
                <w:b/>
                <w:bCs/>
                <w:color w:val="475569"/>
                <w:sz w:val="19"/>
                <w:szCs w:val="19"/>
              </w:rPr>
              <w:t xml:space="preserve">Performance</w:t>
            </w:r>
          </w:p>
        </w:tc>
        <w:tc>
          <w:tcPr>
            <w:tcW w:type="dxa" w:w="1700"/>
            <w:tcMar>
              <w:top w:type="dxa" w:w="80"/>
              <w:left w:type="dxa" w:w="100"/>
              <w:bottom w:type="dxa" w:w="80"/>
              <w:right w:type="dxa" w:w="100"/>
            </w:tcMar>
            <w:vAlign w:val="center"/>
          </w:tcPr>
          <w:p>
            <w:pPr>
              <w:jc w:val="left"/>
            </w:pPr>
            <w:r>
              <w:rPr>
                <w:b w:val="false"/>
                <w:bCs w:val="false"/>
                <w:color w:val="1F2937"/>
                <w:sz w:val="19"/>
                <w:szCs w:val="19"/>
              </w:rPr>
              <w:t xml:space="preserve">5</w:t>
            </w:r>
          </w:p>
        </w:tc>
        <w:tc>
          <w:tcPr>
            <w:tcW w:type="dxa" w:w="2000"/>
            <w:tcMar>
              <w:top w:type="dxa" w:w="80"/>
              <w:left w:type="dxa" w:w="100"/>
              <w:bottom w:type="dxa" w:w="80"/>
              <w:right w:type="dxa" w:w="100"/>
            </w:tcMar>
            <w:vAlign w:val="center"/>
          </w:tcPr>
          <w:p>
            <w:pPr>
              <w:jc w:val="left"/>
            </w:pPr>
            <w:r>
              <w:rPr>
                <w:b w:val="false"/>
                <w:bCs w:val="false"/>
                <w:color w:val="1F2937"/>
                <w:sz w:val="19"/>
                <w:szCs w:val="19"/>
              </w:rPr>
              <w:t xml:space="preserve">3</w:t>
            </w:r>
          </w:p>
        </w:tc>
        <w:tc>
          <w:tcPr>
            <w:tcW w:type="dxa" w:w="2600"/>
            <w:tcMar>
              <w:top w:type="dxa" w:w="80"/>
              <w:left w:type="dxa" w:w="100"/>
              <w:bottom w:type="dxa" w:w="80"/>
              <w:right w:type="dxa" w:w="100"/>
            </w:tcMar>
            <w:vAlign w:val="center"/>
          </w:tcPr>
          <w:p>
            <w:pPr>
              <w:jc w:val="left"/>
            </w:pPr>
            <w:r>
              <w:rPr>
                <w:b w:val="false"/>
                <w:bCs w:val="false"/>
                <w:color w:val="1F2937"/>
                <w:sz w:val="19"/>
                <w:szCs w:val="19"/>
              </w:rPr>
              <w:t xml:space="preserve">1</w:t>
            </w:r>
          </w:p>
        </w:tc>
        <w:tc>
          <w:tcPr>
            <w:tcW w:type="dxa" w:w="1600"/>
            <w:tcMar>
              <w:top w:type="dxa" w:w="80"/>
              <w:left w:type="dxa" w:w="100"/>
              <w:bottom w:type="dxa" w:w="80"/>
              <w:right w:type="dxa" w:w="100"/>
            </w:tcMar>
            <w:vAlign w:val="center"/>
          </w:tcPr>
          <w:p>
            <w:pPr>
              <w:jc w:val="left"/>
            </w:pPr>
            <w:r>
              <w:rPr>
                <w:b w:val="false"/>
                <w:bCs w:val="false"/>
                <w:color w:val="1F2937"/>
                <w:sz w:val="19"/>
                <w:szCs w:val="19"/>
              </w:rPr>
              <w:t xml:space="preserve">1</w:t>
            </w:r>
          </w:p>
        </w:tc>
      </w:tr>
    </w:tbl>
    <w:p>
      <w:pPr>
        <w:spacing w:after="0" w:before="200"/>
      </w:pPr>
      <w:r>
        <w:rPr>
          <w:i/>
          <w:iCs/>
          <w:color w:val="475569"/>
          <w:sz w:val="18"/>
          <w:szCs w:val="18"/>
        </w:rPr>
        <w:t xml:space="preserve">Full detail for every item follows in Sections 3–5.</w:t>
      </w:r>
    </w:p>
    <w:p>
      <w:pPr>
        <w:pStyle w:val="Heading1"/>
        <w:spacing w:after="160" w:before="360"/>
      </w:pPr>
      <w:r>
        <w:rPr>
          <w:b/>
          <w:bCs/>
          <w:color w:val="1F2937"/>
          <w:sz w:val="30"/>
          <w:szCs w:val="30"/>
        </w:rPr>
        <w:t xml:space="preserve">3. Security Findings — Critical &amp; High</w:t>
      </w:r>
    </w:p>
    <w:p>
      <w:pPr>
        <w:spacing w:after="160" w:line="300"/>
      </w:pPr>
      <w:r>
        <w:rPr>
          <w:color w:val="1F2937"/>
          <w:sz w:val="21"/>
          <w:szCs w:val="21"/>
        </w:rPr>
        <w:t xml:space="preserve">These are the findings with the most serious potential impact: account takeover, data leakage, or silent data loss. All are fixed except credential rotation, which needs to happen outside the codebase.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2100"/>
      </w:tblGrid>
      <w:tr>
        <w:trPr>
          <w:tblHeader/>
        </w:trPr>
        <w:tc>
          <w:tcPr>
            <w:tcW w:type="dxa" w:w="900"/>
            <w:shd w:fill="1F2937" w:val="clear"/>
            <w:tcMar>
              <w:top w:type="dxa" w:w="80"/>
              <w:left w:type="dxa" w:w="100"/>
              <w:bottom w:type="dxa" w:w="80"/>
              <w:right w:type="dxa" w:w="100"/>
            </w:tcMar>
            <w:vAlign w:val="center"/>
          </w:tcPr>
          <w:p>
            <w:pPr>
              <w:jc w:val="left"/>
            </w:pPr>
            <w:r>
              <w:rPr>
                <w:b/>
                <w:bCs/>
                <w:color w:val="FFFFFF"/>
                <w:sz w:val="19"/>
                <w:szCs w:val="19"/>
              </w:rPr>
              <w:t xml:space="preserve">Sev.</w:t>
            </w:r>
          </w:p>
        </w:tc>
        <w:tc>
          <w:tcPr>
            <w:tcW w:type="dxa" w:w="6300"/>
            <w:shd w:fill="1F2937" w:val="clear"/>
            <w:tcMar>
              <w:top w:type="dxa" w:w="80"/>
              <w:left w:type="dxa" w:w="100"/>
              <w:bottom w:type="dxa" w:w="80"/>
              <w:right w:type="dxa" w:w="100"/>
            </w:tcMar>
            <w:vAlign w:val="center"/>
          </w:tcPr>
          <w:p>
            <w:pPr>
              <w:jc w:val="left"/>
            </w:pPr>
            <w:r>
              <w:rPr>
                <w:b/>
                <w:bCs/>
                <w:color w:val="FFFFFF"/>
                <w:sz w:val="19"/>
                <w:szCs w:val="19"/>
              </w:rPr>
              <w:t xml:space="preserve">Finding &amp; Fix</w:t>
            </w:r>
          </w:p>
        </w:tc>
        <w:tc>
          <w:tcPr>
            <w:tcW w:type="dxa" w:w="2100"/>
            <w:shd w:fill="1F2937" w:val="clear"/>
            <w:tcMar>
              <w:top w:type="dxa" w:w="80"/>
              <w:left w:type="dxa" w:w="100"/>
              <w:bottom w:type="dxa" w:w="80"/>
              <w:right w:type="dxa" w:w="100"/>
            </w:tcMar>
            <w:vAlign w:val="center"/>
          </w:tcPr>
          <w:p>
            <w:pPr>
              <w:jc w:val="left"/>
            </w:pPr>
            <w:r>
              <w:rPr>
                <w:b/>
                <w:bCs/>
                <w:color w:val="FFFFFF"/>
                <w:sz w:val="19"/>
                <w:szCs w:val="19"/>
              </w:rPr>
              <w:t xml:space="preserve">Status</w:t>
            </w:r>
          </w:p>
        </w:tc>
      </w:tr>
      <w:tr>
        <w:tc>
          <w:tcPr>
            <w:tcW w:type="dxa" w:w="900"/>
            <w:tcMar>
              <w:top w:type="dxa" w:w="80"/>
              <w:left w:type="dxa" w:w="100"/>
              <w:bottom w:type="dxa" w:w="80"/>
              <w:right w:type="dxa" w:w="100"/>
            </w:tcMar>
            <w:vAlign w:val="center"/>
          </w:tcPr>
          <w:p>
            <w:pPr>
              <w:jc w:val="left"/>
            </w:pPr>
            <w:r>
              <w:rPr>
                <w:b/>
                <w:bCs/>
                <w:color w:val="B91C1C"/>
                <w:sz w:val="19"/>
                <w:szCs w:val="19"/>
              </w:rPr>
              <w:t xml:space="preserve">C1</w:t>
            </w:r>
          </w:p>
        </w:tc>
        <w:tc>
          <w:tcPr>
            <w:tcW w:type="dxa" w:w="6300"/>
            <w:tcMar>
              <w:top w:type="dxa" w:w="80"/>
              <w:left w:type="dxa" w:w="100"/>
              <w:bottom w:type="dxa" w:w="80"/>
              <w:right w:type="dxa" w:w="100"/>
            </w:tcMar>
            <w:vAlign w:val="center"/>
          </w:tcPr>
          <w:p>
            <w:pPr>
              <w:jc w:val="left"/>
            </w:pPr>
            <w:r>
              <w:rPr>
                <w:b/>
                <w:bCs/>
                <w:sz w:val="19"/>
                <w:szCs w:val="19"/>
              </w:rPr>
              <w:t xml:space="preserve">CORS wildcard allowed session takeover</w:t>
            </w:r>
            <w:r>
              <w:rPr>
                <w:color w:val="475569"/>
                <w:sz w:val="19"/>
                <w:szCs w:val="19"/>
              </w:rPr>
              <w:t xml:space="preserve">  —  Any site on the free *.vercel.app domain could silently steal a logged-in user’s session. Replaced with an explicit origin allow-list; localhost only permitted outside production.</w:t>
            </w:r>
          </w:p>
        </w:tc>
        <w:tc>
          <w:tcPr>
            <w:tcW w:type="dxa" w:w="2100"/>
            <w:tcMar>
              <w:top w:type="dxa" w:w="80"/>
              <w:left w:type="dxa" w:w="100"/>
              <w:bottom w:type="dxa" w:w="80"/>
              <w:right w:type="dxa" w:w="100"/>
            </w:tcMar>
            <w:vAlign w:val="center"/>
          </w:tcPr>
          <w:p>
            <w:pPr>
              <w:jc w:val="left"/>
            </w:pPr>
            <w:r>
              <w:rPr>
                <w:b/>
                <w:bCs/>
                <w:color w:val="15803D"/>
                <w:sz w:val="19"/>
                <w:szCs w:val="19"/>
              </w:rPr>
              <w:t xml:space="preserve">Fixed</w:t>
            </w:r>
          </w:p>
        </w:tc>
      </w:tr>
      <w:tr>
        <w:tc>
          <w:tcPr>
            <w:tcW w:type="dxa" w:w="900"/>
            <w:shd w:fill="F3F4F6" w:val="clear"/>
            <w:tcMar>
              <w:top w:type="dxa" w:w="80"/>
              <w:left w:type="dxa" w:w="100"/>
              <w:bottom w:type="dxa" w:w="80"/>
              <w:right w:type="dxa" w:w="100"/>
            </w:tcMar>
            <w:vAlign w:val="center"/>
          </w:tcPr>
          <w:p>
            <w:pPr>
              <w:jc w:val="left"/>
            </w:pPr>
            <w:r>
              <w:rPr>
                <w:b/>
                <w:bCs/>
                <w:color w:val="B91C1C"/>
                <w:sz w:val="19"/>
                <w:szCs w:val="19"/>
              </w:rPr>
              <w:t xml:space="preserve">C2</w:t>
            </w:r>
          </w:p>
        </w:tc>
        <w:tc>
          <w:tcPr>
            <w:tcW w:type="dxa" w:w="6300"/>
            <w:shd w:fill="F3F4F6" w:val="clear"/>
            <w:tcMar>
              <w:top w:type="dxa" w:w="80"/>
              <w:left w:type="dxa" w:w="100"/>
              <w:bottom w:type="dxa" w:w="80"/>
              <w:right w:type="dxa" w:w="100"/>
            </w:tcMar>
            <w:vAlign w:val="center"/>
          </w:tcPr>
          <w:p>
            <w:pPr>
              <w:jc w:val="left"/>
            </w:pPr>
            <w:r>
              <w:rPr>
                <w:b/>
                <w:bCs/>
                <w:sz w:val="19"/>
                <w:szCs w:val="19"/>
              </w:rPr>
              <w:t xml:space="preserve">Unauthenticated diagnostic endpoint leaked internals</w:t>
            </w:r>
            <w:r>
              <w:rPr>
                <w:color w:val="475569"/>
                <w:sz w:val="19"/>
                <w:szCs w:val="19"/>
              </w:rPr>
              <w:t xml:space="preserve">  —  /api/v1/debug-errors returned stack traces, raw database error detail (incl. real user emails), and environment flags to anyone. Now returns 404 in production; authenticated + permission-gated otherwise.</w:t>
            </w:r>
          </w:p>
        </w:tc>
        <w:tc>
          <w:tcPr>
            <w:tcW w:type="dxa" w:w="2100"/>
            <w:shd w:fill="F3F4F6" w:val="clear"/>
            <w:tcMar>
              <w:top w:type="dxa" w:w="80"/>
              <w:left w:type="dxa" w:w="100"/>
              <w:bottom w:type="dxa" w:w="80"/>
              <w:right w:type="dxa" w:w="100"/>
            </w:tcMar>
            <w:vAlign w:val="center"/>
          </w:tcPr>
          <w:p>
            <w:pPr>
              <w:jc w:val="left"/>
            </w:pPr>
            <w:r>
              <w:rPr>
                <w:b/>
                <w:bCs/>
                <w:color w:val="15803D"/>
                <w:sz w:val="19"/>
                <w:szCs w:val="19"/>
              </w:rPr>
              <w:t xml:space="preserve">Fixed</w:t>
            </w:r>
          </w:p>
        </w:tc>
      </w:tr>
      <w:tr>
        <w:tc>
          <w:tcPr>
            <w:tcW w:type="dxa" w:w="900"/>
            <w:tcMar>
              <w:top w:type="dxa" w:w="80"/>
              <w:left w:type="dxa" w:w="100"/>
              <w:bottom w:type="dxa" w:w="80"/>
              <w:right w:type="dxa" w:w="100"/>
            </w:tcMar>
            <w:vAlign w:val="center"/>
          </w:tcPr>
          <w:p>
            <w:pPr>
              <w:jc w:val="left"/>
            </w:pPr>
            <w:r>
              <w:rPr>
                <w:b/>
                <w:bCs/>
                <w:color w:val="B91C1C"/>
                <w:sz w:val="19"/>
                <w:szCs w:val="19"/>
              </w:rPr>
              <w:t xml:space="preserve">C3</w:t>
            </w:r>
          </w:p>
        </w:tc>
        <w:tc>
          <w:tcPr>
            <w:tcW w:type="dxa" w:w="6300"/>
            <w:tcMar>
              <w:top w:type="dxa" w:w="80"/>
              <w:left w:type="dxa" w:w="100"/>
              <w:bottom w:type="dxa" w:w="80"/>
              <w:right w:type="dxa" w:w="100"/>
            </w:tcMar>
            <w:vAlign w:val="center"/>
          </w:tcPr>
          <w:p>
            <w:pPr>
              <w:jc w:val="left"/>
            </w:pPr>
            <w:r>
              <w:rPr>
                <w:b/>
                <w:bCs/>
                <w:sz w:val="19"/>
                <w:szCs w:val="19"/>
              </w:rPr>
              <w:t xml:space="preserve">Plaintext password written to logs</w:t>
            </w:r>
            <w:r>
              <w:rPr>
                <w:color w:val="475569"/>
                <w:sz w:val="19"/>
                <w:szCs w:val="19"/>
              </w:rPr>
              <w:t xml:space="preserve">  —  Every failed login wrote the attempted password into server logs. Removed.</w:t>
            </w:r>
          </w:p>
        </w:tc>
        <w:tc>
          <w:tcPr>
            <w:tcW w:type="dxa" w:w="2100"/>
            <w:tcMar>
              <w:top w:type="dxa" w:w="80"/>
              <w:left w:type="dxa" w:w="100"/>
              <w:bottom w:type="dxa" w:w="80"/>
              <w:right w:type="dxa" w:w="100"/>
            </w:tcMar>
            <w:vAlign w:val="center"/>
          </w:tcPr>
          <w:p>
            <w:pPr>
              <w:jc w:val="left"/>
            </w:pPr>
            <w:r>
              <w:rPr>
                <w:b/>
                <w:bCs/>
                <w:color w:val="15803D"/>
                <w:sz w:val="19"/>
                <w:szCs w:val="19"/>
              </w:rPr>
              <w:t xml:space="preserve">Fixed</w:t>
            </w:r>
          </w:p>
        </w:tc>
      </w:tr>
      <w:tr>
        <w:tc>
          <w:tcPr>
            <w:tcW w:type="dxa" w:w="900"/>
            <w:shd w:fill="F3F4F6" w:val="clear"/>
            <w:tcMar>
              <w:top w:type="dxa" w:w="80"/>
              <w:left w:type="dxa" w:w="100"/>
              <w:bottom w:type="dxa" w:w="80"/>
              <w:right w:type="dxa" w:w="100"/>
            </w:tcMar>
            <w:vAlign w:val="center"/>
          </w:tcPr>
          <w:p>
            <w:pPr>
              <w:jc w:val="left"/>
            </w:pPr>
            <w:r>
              <w:rPr>
                <w:b/>
                <w:bCs/>
                <w:color w:val="B91C1C"/>
                <w:sz w:val="19"/>
                <w:szCs w:val="19"/>
              </w:rPr>
              <w:t xml:space="preserve">C4</w:t>
            </w:r>
          </w:p>
        </w:tc>
        <w:tc>
          <w:tcPr>
            <w:tcW w:type="dxa" w:w="6300"/>
            <w:shd w:fill="F3F4F6" w:val="clear"/>
            <w:tcMar>
              <w:top w:type="dxa" w:w="80"/>
              <w:left w:type="dxa" w:w="100"/>
              <w:bottom w:type="dxa" w:w="80"/>
              <w:right w:type="dxa" w:w="100"/>
            </w:tcMar>
            <w:vAlign w:val="center"/>
          </w:tcPr>
          <w:p>
            <w:pPr>
              <w:jc w:val="left"/>
            </w:pPr>
            <w:r>
              <w:rPr>
                <w:b/>
                <w:bCs/>
                <w:sz w:val="19"/>
                <w:szCs w:val="19"/>
              </w:rPr>
              <w:t xml:space="preserve">Hardcoded admin &amp; database credentials in source</w:t>
            </w:r>
            <w:r>
              <w:rPr>
                <w:color w:val="475569"/>
                <w:sz w:val="19"/>
                <w:szCs w:val="19"/>
              </w:rPr>
              <w:t xml:space="preserve">  —  Seed script reset the admin password to a known default on every run; a test file held a hardcoded database connection string with password. Code now requires these from environment variables and refuses to run without them in production.</w:t>
            </w:r>
          </w:p>
        </w:tc>
        <w:tc>
          <w:tcPr>
            <w:tcW w:type="dxa" w:w="2100"/>
            <w:shd w:fill="F3F4F6" w:val="clear"/>
            <w:tcMar>
              <w:top w:type="dxa" w:w="80"/>
              <w:left w:type="dxa" w:w="100"/>
              <w:bottom w:type="dxa" w:w="80"/>
              <w:right w:type="dxa" w:w="100"/>
            </w:tcMar>
            <w:vAlign w:val="center"/>
          </w:tcPr>
          <w:p>
            <w:pPr>
              <w:jc w:val="left"/>
            </w:pPr>
            <w:r>
              <w:rPr>
                <w:b/>
                <w:bCs/>
                <w:color w:val="B91C1C"/>
                <w:sz w:val="19"/>
                <w:szCs w:val="19"/>
              </w:rPr>
              <w:t xml:space="preserve">Needs your action — rotate credentials</w:t>
            </w:r>
          </w:p>
        </w:tc>
      </w:tr>
      <w:tr>
        <w:tc>
          <w:tcPr>
            <w:tcW w:type="dxa" w:w="900"/>
            <w:tcMar>
              <w:top w:type="dxa" w:w="80"/>
              <w:left w:type="dxa" w:w="100"/>
              <w:bottom w:type="dxa" w:w="80"/>
              <w:right w:type="dxa" w:w="100"/>
            </w:tcMar>
            <w:vAlign w:val="center"/>
          </w:tcPr>
          <w:p>
            <w:pPr>
              <w:jc w:val="left"/>
            </w:pPr>
            <w:r>
              <w:rPr>
                <w:b/>
                <w:bCs/>
                <w:color w:val="B91C1C"/>
                <w:sz w:val="19"/>
                <w:szCs w:val="19"/>
              </w:rPr>
              <w:t xml:space="preserve">C5</w:t>
            </w:r>
          </w:p>
        </w:tc>
        <w:tc>
          <w:tcPr>
            <w:tcW w:type="dxa" w:w="6300"/>
            <w:tcMar>
              <w:top w:type="dxa" w:w="80"/>
              <w:left w:type="dxa" w:w="100"/>
              <w:bottom w:type="dxa" w:w="80"/>
              <w:right w:type="dxa" w:w="100"/>
            </w:tcMar>
            <w:vAlign w:val="center"/>
          </w:tcPr>
          <w:p>
            <w:pPr>
              <w:jc w:val="left"/>
            </w:pPr>
            <w:r>
              <w:rPr>
                <w:b/>
                <w:bCs/>
                <w:sz w:val="19"/>
                <w:szCs w:val="19"/>
              </w:rPr>
              <w:t xml:space="preserve">No rate limiting anywhere</w:t>
            </w:r>
            <w:r>
              <w:rPr>
                <w:color w:val="475569"/>
                <w:sz w:val="19"/>
                <w:szCs w:val="19"/>
              </w:rPr>
              <w:t xml:space="preserve">  —  Login, registration, password reset, and all upload endpoints had zero request limits — open to brute-force and cost-driving upload floods. Wired up the existing (previously unused) rate limiter across all of them.</w:t>
            </w:r>
          </w:p>
        </w:tc>
        <w:tc>
          <w:tcPr>
            <w:tcW w:type="dxa" w:w="2100"/>
            <w:tcMar>
              <w:top w:type="dxa" w:w="80"/>
              <w:left w:type="dxa" w:w="100"/>
              <w:bottom w:type="dxa" w:w="80"/>
              <w:right w:type="dxa" w:w="100"/>
            </w:tcMar>
            <w:vAlign w:val="center"/>
          </w:tcPr>
          <w:p>
            <w:pPr>
              <w:jc w:val="left"/>
            </w:pPr>
            <w:r>
              <w:rPr>
                <w:b/>
                <w:bCs/>
                <w:color w:val="15803D"/>
                <w:sz w:val="19"/>
                <w:szCs w:val="19"/>
              </w:rPr>
              <w:t xml:space="preserve">Fixed</w:t>
            </w:r>
          </w:p>
        </w:tc>
      </w:tr>
      <w:tr>
        <w:tc>
          <w:tcPr>
            <w:tcW w:type="dxa" w:w="900"/>
            <w:shd w:fill="F3F4F6" w:val="clear"/>
            <w:tcMar>
              <w:top w:type="dxa" w:w="80"/>
              <w:left w:type="dxa" w:w="100"/>
              <w:bottom w:type="dxa" w:w="80"/>
              <w:right w:type="dxa" w:w="100"/>
            </w:tcMar>
            <w:vAlign w:val="center"/>
          </w:tcPr>
          <w:p>
            <w:pPr>
              <w:jc w:val="left"/>
            </w:pPr>
            <w:r>
              <w:rPr>
                <w:b/>
                <w:bCs/>
                <w:color w:val="C2410C"/>
                <w:sz w:val="19"/>
                <w:szCs w:val="19"/>
              </w:rPr>
              <w:t xml:space="preserve">H1</w:t>
            </w:r>
          </w:p>
        </w:tc>
        <w:tc>
          <w:tcPr>
            <w:tcW w:type="dxa" w:w="6300"/>
            <w:shd w:fill="F3F4F6" w:val="clear"/>
            <w:tcMar>
              <w:top w:type="dxa" w:w="80"/>
              <w:left w:type="dxa" w:w="100"/>
              <w:bottom w:type="dxa" w:w="80"/>
              <w:right w:type="dxa" w:w="100"/>
            </w:tcMar>
            <w:vAlign w:val="center"/>
          </w:tcPr>
          <w:p>
            <w:pPr>
              <w:jc w:val="left"/>
            </w:pPr>
            <w:r>
              <w:rPr>
                <w:b/>
                <w:bCs/>
                <w:sz w:val="19"/>
                <w:szCs w:val="19"/>
              </w:rPr>
              <w:t xml:space="preserve">Password hashes &amp; reset tokens leaked via audit logs</w:t>
            </w:r>
            <w:r>
              <w:rPr>
                <w:color w:val="475569"/>
                <w:sz w:val="19"/>
                <w:szCs w:val="19"/>
              </w:rPr>
              <w:t xml:space="preserve">  —  An unexpired reset token captured in an old audit record was effectively a live password-reset link into any account. These fields are now stripped before any audit record is written.</w:t>
            </w:r>
          </w:p>
        </w:tc>
        <w:tc>
          <w:tcPr>
            <w:tcW w:type="dxa" w:w="2100"/>
            <w:shd w:fill="F3F4F6" w:val="clear"/>
            <w:tcMar>
              <w:top w:type="dxa" w:w="80"/>
              <w:left w:type="dxa" w:w="100"/>
              <w:bottom w:type="dxa" w:w="80"/>
              <w:right w:type="dxa" w:w="100"/>
            </w:tcMar>
            <w:vAlign w:val="center"/>
          </w:tcPr>
          <w:p>
            <w:pPr>
              <w:jc w:val="left"/>
            </w:pPr>
            <w:r>
              <w:rPr>
                <w:b/>
                <w:bCs/>
                <w:color w:val="15803D"/>
                <w:sz w:val="19"/>
                <w:szCs w:val="19"/>
              </w:rPr>
              <w:t xml:space="preserve">Fixed</w:t>
            </w:r>
          </w:p>
        </w:tc>
      </w:tr>
      <w:tr>
        <w:tc>
          <w:tcPr>
            <w:tcW w:type="dxa" w:w="900"/>
            <w:tcMar>
              <w:top w:type="dxa" w:w="80"/>
              <w:left w:type="dxa" w:w="100"/>
              <w:bottom w:type="dxa" w:w="80"/>
              <w:right w:type="dxa" w:w="100"/>
            </w:tcMar>
            <w:vAlign w:val="center"/>
          </w:tcPr>
          <w:p>
            <w:pPr>
              <w:jc w:val="left"/>
            </w:pPr>
            <w:r>
              <w:rPr>
                <w:b/>
                <w:bCs/>
                <w:color w:val="C2410C"/>
                <w:sz w:val="19"/>
                <w:szCs w:val="19"/>
              </w:rPr>
              <w:t xml:space="preserve">H2</w:t>
            </w:r>
          </w:p>
        </w:tc>
        <w:tc>
          <w:tcPr>
            <w:tcW w:type="dxa" w:w="6300"/>
            <w:tcMar>
              <w:top w:type="dxa" w:w="80"/>
              <w:left w:type="dxa" w:w="100"/>
              <w:bottom w:type="dxa" w:w="80"/>
              <w:right w:type="dxa" w:w="100"/>
            </w:tcMar>
            <w:vAlign w:val="center"/>
          </w:tcPr>
          <w:p>
            <w:pPr>
              <w:jc w:val="left"/>
            </w:pPr>
            <w:r>
              <w:rPr>
                <w:b/>
                <w:bCs/>
                <w:sz w:val="19"/>
                <w:szCs w:val="19"/>
              </w:rPr>
              <w:t xml:space="preserve">User-management endpoints returned password hashes to the client</w:t>
            </w:r>
            <w:r>
              <w:rPr>
                <w:color w:val="475569"/>
                <w:sz w:val="19"/>
                <w:szCs w:val="19"/>
              </w:rPr>
              <w:t xml:space="preserve">  —  Several endpoints returned the full raw database row on user create/update/role-change. Now return an explicit safe column list only.</w:t>
            </w:r>
          </w:p>
        </w:tc>
        <w:tc>
          <w:tcPr>
            <w:tcW w:type="dxa" w:w="2100"/>
            <w:tcMar>
              <w:top w:type="dxa" w:w="80"/>
              <w:left w:type="dxa" w:w="100"/>
              <w:bottom w:type="dxa" w:w="80"/>
              <w:right w:type="dxa" w:w="100"/>
            </w:tcMar>
            <w:vAlign w:val="center"/>
          </w:tcPr>
          <w:p>
            <w:pPr>
              <w:jc w:val="left"/>
            </w:pPr>
            <w:r>
              <w:rPr>
                <w:b/>
                <w:bCs/>
                <w:color w:val="15803D"/>
                <w:sz w:val="19"/>
                <w:szCs w:val="19"/>
              </w:rPr>
              <w:t xml:space="preserve">Fixed</w:t>
            </w:r>
          </w:p>
        </w:tc>
      </w:tr>
      <w:tr>
        <w:tc>
          <w:tcPr>
            <w:tcW w:type="dxa" w:w="900"/>
            <w:shd w:fill="F3F4F6" w:val="clear"/>
            <w:tcMar>
              <w:top w:type="dxa" w:w="80"/>
              <w:left w:type="dxa" w:w="100"/>
              <w:bottom w:type="dxa" w:w="80"/>
              <w:right w:type="dxa" w:w="100"/>
            </w:tcMar>
            <w:vAlign w:val="center"/>
          </w:tcPr>
          <w:p>
            <w:pPr>
              <w:jc w:val="left"/>
            </w:pPr>
            <w:r>
              <w:rPr>
                <w:b/>
                <w:bCs/>
                <w:color w:val="C2410C"/>
                <w:sz w:val="19"/>
                <w:szCs w:val="19"/>
              </w:rPr>
              <w:t xml:space="preserve">H3</w:t>
            </w:r>
          </w:p>
        </w:tc>
        <w:tc>
          <w:tcPr>
            <w:tcW w:type="dxa" w:w="6300"/>
            <w:shd w:fill="F3F4F6" w:val="clear"/>
            <w:tcMar>
              <w:top w:type="dxa" w:w="80"/>
              <w:left w:type="dxa" w:w="100"/>
              <w:bottom w:type="dxa" w:w="80"/>
              <w:right w:type="dxa" w:w="100"/>
            </w:tcMar>
            <w:vAlign w:val="center"/>
          </w:tcPr>
          <w:p>
            <w:pPr>
              <w:jc w:val="left"/>
            </w:pPr>
            <w:r>
              <w:rPr>
                <w:b/>
                <w:bCs/>
                <w:sz w:val="19"/>
                <w:szCs w:val="19"/>
              </w:rPr>
              <w:t xml:space="preserve">Full stack traces returned to API clients</w:t>
            </w:r>
            <w:r>
              <w:rPr>
                <w:color w:val="475569"/>
                <w:sz w:val="19"/>
                <w:szCs w:val="19"/>
              </w:rPr>
              <w:t xml:space="preserve">  —  Every 500 error exposed internal file paths, the module graph, and library versions. Now only included outside production; full detail still logged server-side.</w:t>
            </w:r>
          </w:p>
        </w:tc>
        <w:tc>
          <w:tcPr>
            <w:tcW w:type="dxa" w:w="2100"/>
            <w:shd w:fill="F3F4F6" w:val="clear"/>
            <w:tcMar>
              <w:top w:type="dxa" w:w="80"/>
              <w:left w:type="dxa" w:w="100"/>
              <w:bottom w:type="dxa" w:w="80"/>
              <w:right w:type="dxa" w:w="100"/>
            </w:tcMar>
            <w:vAlign w:val="center"/>
          </w:tcPr>
          <w:p>
            <w:pPr>
              <w:jc w:val="left"/>
            </w:pPr>
            <w:r>
              <w:rPr>
                <w:b/>
                <w:bCs/>
                <w:color w:val="15803D"/>
                <w:sz w:val="19"/>
                <w:szCs w:val="19"/>
              </w:rPr>
              <w:t xml:space="preserve">Fixed</w:t>
            </w:r>
          </w:p>
        </w:tc>
      </w:tr>
      <w:tr>
        <w:tc>
          <w:tcPr>
            <w:tcW w:type="dxa" w:w="900"/>
            <w:tcMar>
              <w:top w:type="dxa" w:w="80"/>
              <w:left w:type="dxa" w:w="100"/>
              <w:bottom w:type="dxa" w:w="80"/>
              <w:right w:type="dxa" w:w="100"/>
            </w:tcMar>
            <w:vAlign w:val="center"/>
          </w:tcPr>
          <w:p>
            <w:pPr>
              <w:jc w:val="left"/>
            </w:pPr>
            <w:r>
              <w:rPr>
                <w:b/>
                <w:bCs/>
                <w:color w:val="C2410C"/>
                <w:sz w:val="19"/>
                <w:szCs w:val="19"/>
              </w:rPr>
              <w:t xml:space="preserve">H4</w:t>
            </w:r>
          </w:p>
        </w:tc>
        <w:tc>
          <w:tcPr>
            <w:tcW w:type="dxa" w:w="6300"/>
            <w:tcMar>
              <w:top w:type="dxa" w:w="80"/>
              <w:left w:type="dxa" w:w="100"/>
              <w:bottom w:type="dxa" w:w="80"/>
              <w:right w:type="dxa" w:w="100"/>
            </w:tcMar>
            <w:vAlign w:val="center"/>
          </w:tcPr>
          <w:p>
            <w:pPr>
              <w:jc w:val="left"/>
            </w:pPr>
            <w:r>
              <w:rPr>
                <w:b/>
                <w:bCs/>
                <w:sz w:val="19"/>
                <w:szCs w:val="19"/>
              </w:rPr>
              <w:t xml:space="preserve">Database TLS certificate validation disabled</w:t>
            </w:r>
            <w:r>
              <w:rPr>
                <w:color w:val="475569"/>
                <w:sz w:val="19"/>
                <w:szCs w:val="19"/>
              </w:rPr>
              <w:t xml:space="preserve">  —  A misconfiguration meant the app never actually verified the database’s TLS certificate, permitting a man-in-the-middle to intercept the connection. Fixed — required removing a stale, conflicting CA bundle left over from a prior database migration; verified by reconnecting successfully end-to-end after the change.</w:t>
            </w:r>
          </w:p>
        </w:tc>
        <w:tc>
          <w:tcPr>
            <w:tcW w:type="dxa" w:w="2100"/>
            <w:tcMar>
              <w:top w:type="dxa" w:w="80"/>
              <w:left w:type="dxa" w:w="100"/>
              <w:bottom w:type="dxa" w:w="80"/>
              <w:right w:type="dxa" w:w="100"/>
            </w:tcMar>
            <w:vAlign w:val="center"/>
          </w:tcPr>
          <w:p>
            <w:pPr>
              <w:jc w:val="left"/>
            </w:pPr>
            <w:r>
              <w:rPr>
                <w:b/>
                <w:bCs/>
                <w:color w:val="15803D"/>
                <w:sz w:val="19"/>
                <w:szCs w:val="19"/>
              </w:rPr>
              <w:t xml:space="preserve">Fixed</w:t>
            </w:r>
          </w:p>
        </w:tc>
      </w:tr>
      <w:tr>
        <w:tc>
          <w:tcPr>
            <w:tcW w:type="dxa" w:w="900"/>
            <w:shd w:fill="F3F4F6" w:val="clear"/>
            <w:tcMar>
              <w:top w:type="dxa" w:w="80"/>
              <w:left w:type="dxa" w:w="100"/>
              <w:bottom w:type="dxa" w:w="80"/>
              <w:right w:type="dxa" w:w="100"/>
            </w:tcMar>
            <w:vAlign w:val="center"/>
          </w:tcPr>
          <w:p>
            <w:pPr>
              <w:jc w:val="left"/>
            </w:pPr>
            <w:r>
              <w:rPr>
                <w:b/>
                <w:bCs/>
                <w:color w:val="C2410C"/>
                <w:sz w:val="19"/>
                <w:szCs w:val="19"/>
              </w:rPr>
              <w:t xml:space="preserve">H5</w:t>
            </w:r>
          </w:p>
        </w:tc>
        <w:tc>
          <w:tcPr>
            <w:tcW w:type="dxa" w:w="6300"/>
            <w:shd w:fill="F3F4F6" w:val="clear"/>
            <w:tcMar>
              <w:top w:type="dxa" w:w="80"/>
              <w:left w:type="dxa" w:w="100"/>
              <w:bottom w:type="dxa" w:w="80"/>
              <w:right w:type="dxa" w:w="100"/>
            </w:tcMar>
            <w:vAlign w:val="center"/>
          </w:tcPr>
          <w:p>
            <w:pPr>
              <w:jc w:val="left"/>
            </w:pPr>
            <w:r>
              <w:rPr>
                <w:b/>
                <w:bCs/>
                <w:sz w:val="19"/>
                <w:szCs w:val="19"/>
              </w:rPr>
              <w:t xml:space="preserve">CSV formula injection in every downloadable report</w:t>
            </w:r>
            <w:r>
              <w:rPr>
                <w:color w:val="475569"/>
                <w:sz w:val="19"/>
                <w:szCs w:val="19"/>
              </w:rPr>
              <w:t xml:space="preserve">  —  A malicious upload could plant a formula that executes when an admin later opens the exported error report in Excel. Neutralized across all four export/report paths.</w:t>
            </w:r>
          </w:p>
        </w:tc>
        <w:tc>
          <w:tcPr>
            <w:tcW w:type="dxa" w:w="2100"/>
            <w:shd w:fill="F3F4F6" w:val="clear"/>
            <w:tcMar>
              <w:top w:type="dxa" w:w="80"/>
              <w:left w:type="dxa" w:w="100"/>
              <w:bottom w:type="dxa" w:w="80"/>
              <w:right w:type="dxa" w:w="100"/>
            </w:tcMar>
            <w:vAlign w:val="center"/>
          </w:tcPr>
          <w:p>
            <w:pPr>
              <w:jc w:val="left"/>
            </w:pPr>
            <w:r>
              <w:rPr>
                <w:b/>
                <w:bCs/>
                <w:color w:val="15803D"/>
                <w:sz w:val="19"/>
                <w:szCs w:val="19"/>
              </w:rPr>
              <w:t xml:space="preserve">Fixed</w:t>
            </w:r>
          </w:p>
        </w:tc>
      </w:tr>
      <w:tr>
        <w:tc>
          <w:tcPr>
            <w:tcW w:type="dxa" w:w="900"/>
            <w:tcMar>
              <w:top w:type="dxa" w:w="80"/>
              <w:left w:type="dxa" w:w="100"/>
              <w:bottom w:type="dxa" w:w="80"/>
              <w:right w:type="dxa" w:w="100"/>
            </w:tcMar>
            <w:vAlign w:val="center"/>
          </w:tcPr>
          <w:p>
            <w:pPr>
              <w:jc w:val="left"/>
            </w:pPr>
            <w:r>
              <w:rPr>
                <w:b/>
                <w:bCs/>
                <w:color w:val="C2410C"/>
                <w:sz w:val="19"/>
                <w:szCs w:val="19"/>
              </w:rPr>
              <w:t xml:space="preserve">H6</w:t>
            </w:r>
          </w:p>
        </w:tc>
        <w:tc>
          <w:tcPr>
            <w:tcW w:type="dxa" w:w="6300"/>
            <w:tcMar>
              <w:top w:type="dxa" w:w="80"/>
              <w:left w:type="dxa" w:w="100"/>
              <w:bottom w:type="dxa" w:w="80"/>
              <w:right w:type="dxa" w:w="100"/>
            </w:tcMar>
            <w:vAlign w:val="center"/>
          </w:tcPr>
          <w:p>
            <w:pPr>
              <w:jc w:val="left"/>
            </w:pPr>
            <w:r>
              <w:rPr>
                <w:b/>
                <w:bCs/>
                <w:sz w:val="19"/>
                <w:szCs w:val="19"/>
              </w:rPr>
              <w:t xml:space="preserve">Unbounded memory use parsing uploaded spreadsheets</w:t>
            </w:r>
            <w:r>
              <w:rPr>
                <w:color w:val="475569"/>
                <w:sz w:val="19"/>
                <w:szCs w:val="19"/>
              </w:rPr>
              <w:t xml:space="preserve">  —  A small, compliant file could decompress to gigabytes in memory and crash the server (a "zip bomb"). Added a pre-check that rejects oversized files before any decompression happens.</w:t>
            </w:r>
          </w:p>
        </w:tc>
        <w:tc>
          <w:tcPr>
            <w:tcW w:type="dxa" w:w="2100"/>
            <w:tcMar>
              <w:top w:type="dxa" w:w="80"/>
              <w:left w:type="dxa" w:w="100"/>
              <w:bottom w:type="dxa" w:w="80"/>
              <w:right w:type="dxa" w:w="100"/>
            </w:tcMar>
            <w:vAlign w:val="center"/>
          </w:tcPr>
          <w:p>
            <w:pPr>
              <w:jc w:val="left"/>
            </w:pPr>
            <w:r>
              <w:rPr>
                <w:b/>
                <w:bCs/>
                <w:color w:val="15803D"/>
                <w:sz w:val="19"/>
                <w:szCs w:val="19"/>
              </w:rPr>
              <w:t xml:space="preserve">Fixed</w:t>
            </w:r>
          </w:p>
        </w:tc>
      </w:tr>
    </w:tbl>
    <w:p>
      <w:pPr>
        <w:pStyle w:val="Heading1"/>
        <w:spacing w:after="160" w:before="360"/>
      </w:pPr>
      <w:r>
        <w:rPr>
          <w:b/>
          <w:bCs/>
          <w:color w:val="1F2937"/>
          <w:sz w:val="30"/>
          <w:szCs w:val="30"/>
        </w:rPr>
        <w:t xml:space="preserve">4. Security Findings — Medium &amp; 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2100"/>
      </w:tblGrid>
      <w:tr>
        <w:trPr>
          <w:tblHeader/>
        </w:trPr>
        <w:tc>
          <w:tcPr>
            <w:tcW w:type="dxa" w:w="900"/>
            <w:shd w:fill="1F2937" w:val="clear"/>
            <w:tcMar>
              <w:top w:type="dxa" w:w="80"/>
              <w:left w:type="dxa" w:w="100"/>
              <w:bottom w:type="dxa" w:w="80"/>
              <w:right w:type="dxa" w:w="100"/>
            </w:tcMar>
            <w:vAlign w:val="center"/>
          </w:tcPr>
          <w:p>
            <w:pPr>
              <w:jc w:val="left"/>
            </w:pPr>
            <w:r>
              <w:rPr>
                <w:b/>
                <w:bCs/>
                <w:color w:val="FFFFFF"/>
                <w:sz w:val="19"/>
                <w:szCs w:val="19"/>
              </w:rPr>
              <w:t xml:space="preserve">Sev.</w:t>
            </w:r>
          </w:p>
        </w:tc>
        <w:tc>
          <w:tcPr>
            <w:tcW w:type="dxa" w:w="6300"/>
            <w:shd w:fill="1F2937" w:val="clear"/>
            <w:tcMar>
              <w:top w:type="dxa" w:w="80"/>
              <w:left w:type="dxa" w:w="100"/>
              <w:bottom w:type="dxa" w:w="80"/>
              <w:right w:type="dxa" w:w="100"/>
            </w:tcMar>
            <w:vAlign w:val="center"/>
          </w:tcPr>
          <w:p>
            <w:pPr>
              <w:jc w:val="left"/>
            </w:pPr>
            <w:r>
              <w:rPr>
                <w:b/>
                <w:bCs/>
                <w:color w:val="FFFFFF"/>
                <w:sz w:val="19"/>
                <w:szCs w:val="19"/>
              </w:rPr>
              <w:t xml:space="preserve">Finding &amp; Fix</w:t>
            </w:r>
          </w:p>
        </w:tc>
        <w:tc>
          <w:tcPr>
            <w:tcW w:type="dxa" w:w="2100"/>
            <w:shd w:fill="1F2937" w:val="clear"/>
            <w:tcMar>
              <w:top w:type="dxa" w:w="80"/>
              <w:left w:type="dxa" w:w="100"/>
              <w:bottom w:type="dxa" w:w="80"/>
              <w:right w:type="dxa" w:w="100"/>
            </w:tcMar>
            <w:vAlign w:val="center"/>
          </w:tcPr>
          <w:p>
            <w:pPr>
              <w:jc w:val="left"/>
            </w:pPr>
            <w:r>
              <w:rPr>
                <w:b/>
                <w:bCs/>
                <w:color w:val="FFFFFF"/>
                <w:sz w:val="19"/>
                <w:szCs w:val="19"/>
              </w:rPr>
              <w:t xml:space="preserve">Status</w:t>
            </w:r>
          </w:p>
        </w:tc>
      </w:tr>
      <w:tr>
        <w:tc>
          <w:tcPr>
            <w:tcW w:type="dxa" w:w="900"/>
            <w:tcMar>
              <w:top w:type="dxa" w:w="80"/>
              <w:left w:type="dxa" w:w="100"/>
              <w:bottom w:type="dxa" w:w="80"/>
              <w:right w:type="dxa" w:w="100"/>
            </w:tcMar>
            <w:vAlign w:val="center"/>
          </w:tcPr>
          <w:p>
            <w:pPr>
              <w:jc w:val="left"/>
            </w:pPr>
            <w:r>
              <w:rPr>
                <w:b/>
                <w:bCs/>
                <w:color w:val="B45309"/>
                <w:sz w:val="19"/>
                <w:szCs w:val="19"/>
              </w:rPr>
              <w:t xml:space="preserve">M1</w:t>
            </w:r>
          </w:p>
        </w:tc>
        <w:tc>
          <w:tcPr>
            <w:tcW w:type="dxa" w:w="6300"/>
            <w:tcMar>
              <w:top w:type="dxa" w:w="80"/>
              <w:left w:type="dxa" w:w="100"/>
              <w:bottom w:type="dxa" w:w="80"/>
              <w:right w:type="dxa" w:w="100"/>
            </w:tcMar>
            <w:vAlign w:val="center"/>
          </w:tcPr>
          <w:p>
            <w:pPr>
              <w:jc w:val="left"/>
            </w:pPr>
            <w:r>
              <w:rPr>
                <w:b/>
                <w:bCs/>
                <w:sz w:val="19"/>
                <w:szCs w:val="19"/>
              </w:rPr>
              <w:t xml:space="preserve">Shared cache was not actually shared</w:t>
            </w:r>
            <w:r>
              <w:rPr>
                <w:color w:val="475569"/>
                <w:sz w:val="19"/>
                <w:szCs w:val="19"/>
              </w:rPr>
              <w:t xml:space="preserve">  —  The app believed it was using a shared cache, but was actually using per-server memory — meaning revoking a user’s access could take up to 10 minutes to take effect on some servers. Rewired to use the already-provisioned but never-connected cache service.</w:t>
            </w:r>
          </w:p>
        </w:tc>
        <w:tc>
          <w:tcPr>
            <w:tcW w:type="dxa" w:w="2100"/>
            <w:tcMar>
              <w:top w:type="dxa" w:w="80"/>
              <w:left w:type="dxa" w:w="100"/>
              <w:bottom w:type="dxa" w:w="80"/>
              <w:right w:type="dxa" w:w="100"/>
            </w:tcMar>
            <w:vAlign w:val="center"/>
          </w:tcPr>
          <w:p>
            <w:pPr>
              <w:jc w:val="left"/>
            </w:pPr>
            <w:r>
              <w:rPr>
                <w:b/>
                <w:bCs/>
                <w:color w:val="B91C1C"/>
                <w:sz w:val="19"/>
                <w:szCs w:val="19"/>
              </w:rPr>
              <w:t xml:space="preserve">Needs your action — see below</w:t>
            </w:r>
          </w:p>
        </w:tc>
      </w:tr>
      <w:tr>
        <w:tc>
          <w:tcPr>
            <w:tcW w:type="dxa" w:w="900"/>
            <w:shd w:fill="F3F4F6" w:val="clear"/>
            <w:tcMar>
              <w:top w:type="dxa" w:w="80"/>
              <w:left w:type="dxa" w:w="100"/>
              <w:bottom w:type="dxa" w:w="80"/>
              <w:right w:type="dxa" w:w="100"/>
            </w:tcMar>
            <w:vAlign w:val="center"/>
          </w:tcPr>
          <w:p>
            <w:pPr>
              <w:jc w:val="left"/>
            </w:pPr>
            <w:r>
              <w:rPr>
                <w:b/>
                <w:bCs/>
                <w:color w:val="B45309"/>
                <w:sz w:val="19"/>
                <w:szCs w:val="19"/>
              </w:rPr>
              <w:t xml:space="preserve">M2</w:t>
            </w:r>
          </w:p>
        </w:tc>
        <w:tc>
          <w:tcPr>
            <w:tcW w:type="dxa" w:w="6300"/>
            <w:shd w:fill="F3F4F6" w:val="clear"/>
            <w:tcMar>
              <w:top w:type="dxa" w:w="80"/>
              <w:left w:type="dxa" w:w="100"/>
              <w:bottom w:type="dxa" w:w="80"/>
              <w:right w:type="dxa" w:w="100"/>
            </w:tcMar>
            <w:vAlign w:val="center"/>
          </w:tcPr>
          <w:p>
            <w:pPr>
              <w:jc w:val="left"/>
            </w:pPr>
            <w:r>
              <w:rPr>
                <w:b/>
                <w:bCs/>
                <w:sz w:val="19"/>
                <w:szCs w:val="19"/>
              </w:rPr>
              <w:t xml:space="preserve">Password reset/change did not log out other sessions</w:t>
            </w:r>
            <w:r>
              <w:rPr>
                <w:color w:val="475569"/>
                <w:sz w:val="19"/>
                <w:szCs w:val="19"/>
              </w:rPr>
              <w:t xml:space="preserve">  —  A stolen login could survive the user’s own password reset for up to 7 days. Fixed.</w:t>
            </w:r>
          </w:p>
        </w:tc>
        <w:tc>
          <w:tcPr>
            <w:tcW w:type="dxa" w:w="2100"/>
            <w:shd w:fill="F3F4F6" w:val="clear"/>
            <w:tcMar>
              <w:top w:type="dxa" w:w="80"/>
              <w:left w:type="dxa" w:w="100"/>
              <w:bottom w:type="dxa" w:w="80"/>
              <w:right w:type="dxa" w:w="100"/>
            </w:tcMar>
            <w:vAlign w:val="center"/>
          </w:tcPr>
          <w:p>
            <w:pPr>
              <w:jc w:val="left"/>
            </w:pPr>
            <w:r>
              <w:rPr>
                <w:b/>
                <w:bCs/>
                <w:color w:val="15803D"/>
                <w:sz w:val="19"/>
                <w:szCs w:val="19"/>
              </w:rPr>
              <w:t xml:space="preserve">Fixed</w:t>
            </w:r>
          </w:p>
        </w:tc>
      </w:tr>
      <w:tr>
        <w:tc>
          <w:tcPr>
            <w:tcW w:type="dxa" w:w="900"/>
            <w:tcMar>
              <w:top w:type="dxa" w:w="80"/>
              <w:left w:type="dxa" w:w="100"/>
              <w:bottom w:type="dxa" w:w="80"/>
              <w:right w:type="dxa" w:w="100"/>
            </w:tcMar>
            <w:vAlign w:val="center"/>
          </w:tcPr>
          <w:p>
            <w:pPr>
              <w:jc w:val="left"/>
            </w:pPr>
            <w:r>
              <w:rPr>
                <w:b/>
                <w:bCs/>
                <w:color w:val="B45309"/>
                <w:sz w:val="19"/>
                <w:szCs w:val="19"/>
              </w:rPr>
              <w:t xml:space="preserve">M3</w:t>
            </w:r>
          </w:p>
        </w:tc>
        <w:tc>
          <w:tcPr>
            <w:tcW w:type="dxa" w:w="6300"/>
            <w:tcMar>
              <w:top w:type="dxa" w:w="80"/>
              <w:left w:type="dxa" w:w="100"/>
              <w:bottom w:type="dxa" w:w="80"/>
              <w:right w:type="dxa" w:w="100"/>
            </w:tcMar>
            <w:vAlign w:val="center"/>
          </w:tcPr>
          <w:p>
            <w:pPr>
              <w:jc w:val="left"/>
            </w:pPr>
            <w:r>
              <w:rPr>
                <w:b/>
                <w:bCs/>
                <w:sz w:val="19"/>
                <w:szCs w:val="19"/>
              </w:rPr>
              <w:t xml:space="preserve">Reset tokens stored in plaintext; no password strength check</w:t>
            </w:r>
            <w:r>
              <w:rPr>
                <w:color w:val="475569"/>
                <w:sz w:val="19"/>
                <w:szCs w:val="19"/>
              </w:rPr>
              <w:t xml:space="preserve">  —  Tokens are now hashed at rest; minimum password length is now enforced.</w:t>
            </w:r>
          </w:p>
        </w:tc>
        <w:tc>
          <w:tcPr>
            <w:tcW w:type="dxa" w:w="2100"/>
            <w:tcMar>
              <w:top w:type="dxa" w:w="80"/>
              <w:left w:type="dxa" w:w="100"/>
              <w:bottom w:type="dxa" w:w="80"/>
              <w:right w:type="dxa" w:w="100"/>
            </w:tcMar>
            <w:vAlign w:val="center"/>
          </w:tcPr>
          <w:p>
            <w:pPr>
              <w:jc w:val="left"/>
            </w:pPr>
            <w:r>
              <w:rPr>
                <w:b/>
                <w:bCs/>
                <w:color w:val="15803D"/>
                <w:sz w:val="19"/>
                <w:szCs w:val="19"/>
              </w:rPr>
              <w:t xml:space="preserve">Fixed</w:t>
            </w:r>
          </w:p>
        </w:tc>
      </w:tr>
      <w:tr>
        <w:tc>
          <w:tcPr>
            <w:tcW w:type="dxa" w:w="900"/>
            <w:shd w:fill="F3F4F6" w:val="clear"/>
            <w:tcMar>
              <w:top w:type="dxa" w:w="80"/>
              <w:left w:type="dxa" w:w="100"/>
              <w:bottom w:type="dxa" w:w="80"/>
              <w:right w:type="dxa" w:w="100"/>
            </w:tcMar>
            <w:vAlign w:val="center"/>
          </w:tcPr>
          <w:p>
            <w:pPr>
              <w:jc w:val="left"/>
            </w:pPr>
            <w:r>
              <w:rPr>
                <w:b/>
                <w:bCs/>
                <w:color w:val="B45309"/>
                <w:sz w:val="19"/>
                <w:szCs w:val="19"/>
              </w:rPr>
              <w:t xml:space="preserve">M4</w:t>
            </w:r>
          </w:p>
        </w:tc>
        <w:tc>
          <w:tcPr>
            <w:tcW w:type="dxa" w:w="6300"/>
            <w:shd w:fill="F3F4F6" w:val="clear"/>
            <w:tcMar>
              <w:top w:type="dxa" w:w="80"/>
              <w:left w:type="dxa" w:w="100"/>
              <w:bottom w:type="dxa" w:w="80"/>
              <w:right w:type="dxa" w:w="100"/>
            </w:tcMar>
            <w:vAlign w:val="center"/>
          </w:tcPr>
          <w:p>
            <w:pPr>
              <w:jc w:val="left"/>
            </w:pPr>
            <w:r>
              <w:rPr>
                <w:b/>
                <w:bCs/>
                <w:sz w:val="19"/>
                <w:szCs w:val="19"/>
              </w:rPr>
              <w:t xml:space="preserve">Single-use email tickets could be reused as full login tokens</w:t>
            </w:r>
            <w:r>
              <w:rPr>
                <w:color w:val="475569"/>
                <w:sz w:val="19"/>
                <w:szCs w:val="19"/>
              </w:rPr>
              <w:t xml:space="preserve">  —  Fixed by validating the token’s intended purpose.</w:t>
            </w:r>
          </w:p>
        </w:tc>
        <w:tc>
          <w:tcPr>
            <w:tcW w:type="dxa" w:w="2100"/>
            <w:shd w:fill="F3F4F6" w:val="clear"/>
            <w:tcMar>
              <w:top w:type="dxa" w:w="80"/>
              <w:left w:type="dxa" w:w="100"/>
              <w:bottom w:type="dxa" w:w="80"/>
              <w:right w:type="dxa" w:w="100"/>
            </w:tcMar>
            <w:vAlign w:val="center"/>
          </w:tcPr>
          <w:p>
            <w:pPr>
              <w:jc w:val="left"/>
            </w:pPr>
            <w:r>
              <w:rPr>
                <w:b/>
                <w:bCs/>
                <w:color w:val="15803D"/>
                <w:sz w:val="19"/>
                <w:szCs w:val="19"/>
              </w:rPr>
              <w:t xml:space="preserve">Fixed</w:t>
            </w:r>
          </w:p>
        </w:tc>
      </w:tr>
      <w:tr>
        <w:tc>
          <w:tcPr>
            <w:tcW w:type="dxa" w:w="900"/>
            <w:tcMar>
              <w:top w:type="dxa" w:w="80"/>
              <w:left w:type="dxa" w:w="100"/>
              <w:bottom w:type="dxa" w:w="80"/>
              <w:right w:type="dxa" w:w="100"/>
            </w:tcMar>
            <w:vAlign w:val="center"/>
          </w:tcPr>
          <w:p>
            <w:pPr>
              <w:jc w:val="left"/>
            </w:pPr>
            <w:r>
              <w:rPr>
                <w:b/>
                <w:bCs/>
                <w:color w:val="B45309"/>
                <w:sz w:val="19"/>
                <w:szCs w:val="19"/>
              </w:rPr>
              <w:t xml:space="preserve">M5</w:t>
            </w:r>
          </w:p>
        </w:tc>
        <w:tc>
          <w:tcPr>
            <w:tcW w:type="dxa" w:w="6300"/>
            <w:tcMar>
              <w:top w:type="dxa" w:w="80"/>
              <w:left w:type="dxa" w:w="100"/>
              <w:bottom w:type="dxa" w:w="80"/>
              <w:right w:type="dxa" w:w="100"/>
            </w:tcMar>
            <w:vAlign w:val="center"/>
          </w:tcPr>
          <w:p>
            <w:pPr>
              <w:jc w:val="left"/>
            </w:pPr>
            <w:r>
              <w:rPr>
                <w:b/>
                <w:bCs/>
                <w:sz w:val="19"/>
                <w:szCs w:val="19"/>
              </w:rPr>
              <w:t xml:space="preserve">Read-only roles could perform delete/write actions</w:t>
            </w:r>
            <w:r>
              <w:rPr>
                <w:color w:val="475569"/>
                <w:sz w:val="19"/>
                <w:szCs w:val="19"/>
              </w:rPr>
              <w:t xml:space="preserve">  —  Two admin features were gated by view-only permissions instead of edit permissions, by mistake. Corrected to reuse the correct existing permission tier.</w:t>
            </w:r>
          </w:p>
        </w:tc>
        <w:tc>
          <w:tcPr>
            <w:tcW w:type="dxa" w:w="2100"/>
            <w:tcMar>
              <w:top w:type="dxa" w:w="80"/>
              <w:left w:type="dxa" w:w="100"/>
              <w:bottom w:type="dxa" w:w="80"/>
              <w:right w:type="dxa" w:w="100"/>
            </w:tcMar>
            <w:vAlign w:val="center"/>
          </w:tcPr>
          <w:p>
            <w:pPr>
              <w:jc w:val="left"/>
            </w:pPr>
            <w:r>
              <w:rPr>
                <w:b/>
                <w:bCs/>
                <w:color w:val="15803D"/>
                <w:sz w:val="19"/>
                <w:szCs w:val="19"/>
              </w:rPr>
              <w:t xml:space="preserve">Fixed</w:t>
            </w:r>
          </w:p>
        </w:tc>
      </w:tr>
      <w:tr>
        <w:tc>
          <w:tcPr>
            <w:tcW w:type="dxa" w:w="900"/>
            <w:shd w:fill="F3F4F6" w:val="clear"/>
            <w:tcMar>
              <w:top w:type="dxa" w:w="80"/>
              <w:left w:type="dxa" w:w="100"/>
              <w:bottom w:type="dxa" w:w="80"/>
              <w:right w:type="dxa" w:w="100"/>
            </w:tcMar>
            <w:vAlign w:val="center"/>
          </w:tcPr>
          <w:p>
            <w:pPr>
              <w:jc w:val="left"/>
            </w:pPr>
            <w:r>
              <w:rPr>
                <w:b/>
                <w:bCs/>
                <w:color w:val="B45309"/>
                <w:sz w:val="19"/>
                <w:szCs w:val="19"/>
              </w:rPr>
              <w:t xml:space="preserve">M6</w:t>
            </w:r>
          </w:p>
        </w:tc>
        <w:tc>
          <w:tcPr>
            <w:tcW w:type="dxa" w:w="6300"/>
            <w:shd w:fill="F3F4F6" w:val="clear"/>
            <w:tcMar>
              <w:top w:type="dxa" w:w="80"/>
              <w:left w:type="dxa" w:w="100"/>
              <w:bottom w:type="dxa" w:w="80"/>
              <w:right w:type="dxa" w:w="100"/>
            </w:tcMar>
            <w:vAlign w:val="center"/>
          </w:tcPr>
          <w:p>
            <w:pPr>
              <w:jc w:val="left"/>
            </w:pPr>
            <w:r>
              <w:rPr>
                <w:b/>
                <w:bCs/>
                <w:sz w:val="19"/>
                <w:szCs w:val="19"/>
              </w:rPr>
              <w:t xml:space="preserve">Vertical reordering feature was silently broken</w:t>
            </w:r>
            <w:r>
              <w:rPr>
                <w:color w:val="475569"/>
                <w:sz w:val="19"/>
                <w:szCs w:val="19"/>
              </w:rPr>
              <w:t xml:space="preserve">  —  A routing order bug meant this feature never actually worked. Fixed.</w:t>
            </w:r>
          </w:p>
        </w:tc>
        <w:tc>
          <w:tcPr>
            <w:tcW w:type="dxa" w:w="2100"/>
            <w:shd w:fill="F3F4F6" w:val="clear"/>
            <w:tcMar>
              <w:top w:type="dxa" w:w="80"/>
              <w:left w:type="dxa" w:w="100"/>
              <w:bottom w:type="dxa" w:w="80"/>
              <w:right w:type="dxa" w:w="100"/>
            </w:tcMar>
            <w:vAlign w:val="center"/>
          </w:tcPr>
          <w:p>
            <w:pPr>
              <w:jc w:val="left"/>
            </w:pPr>
            <w:r>
              <w:rPr>
                <w:b/>
                <w:bCs/>
                <w:color w:val="15803D"/>
                <w:sz w:val="19"/>
                <w:szCs w:val="19"/>
              </w:rPr>
              <w:t xml:space="preserve">Fixed</w:t>
            </w:r>
          </w:p>
        </w:tc>
      </w:tr>
      <w:tr>
        <w:tc>
          <w:tcPr>
            <w:tcW w:type="dxa" w:w="900"/>
            <w:tcMar>
              <w:top w:type="dxa" w:w="80"/>
              <w:left w:type="dxa" w:w="100"/>
              <w:bottom w:type="dxa" w:w="80"/>
              <w:right w:type="dxa" w:w="100"/>
            </w:tcMar>
            <w:vAlign w:val="center"/>
          </w:tcPr>
          <w:p>
            <w:pPr>
              <w:jc w:val="left"/>
            </w:pPr>
            <w:r>
              <w:rPr>
                <w:b/>
                <w:bCs/>
                <w:color w:val="B45309"/>
                <w:sz w:val="19"/>
                <w:szCs w:val="19"/>
              </w:rPr>
              <w:t xml:space="preserve">M7</w:t>
            </w:r>
          </w:p>
        </w:tc>
        <w:tc>
          <w:tcPr>
            <w:tcW w:type="dxa" w:w="6300"/>
            <w:tcMar>
              <w:top w:type="dxa" w:w="80"/>
              <w:left w:type="dxa" w:w="100"/>
              <w:bottom w:type="dxa" w:w="80"/>
              <w:right w:type="dxa" w:w="100"/>
            </w:tcMar>
            <w:vAlign w:val="center"/>
          </w:tcPr>
          <w:p>
            <w:pPr>
              <w:jc w:val="left"/>
            </w:pPr>
            <w:r>
              <w:rPr>
                <w:b/>
                <w:bCs/>
                <w:sz w:val="19"/>
                <w:szCs w:val="19"/>
              </w:rPr>
              <w:t xml:space="preserve">Status check could alter data before permission was verified</w:t>
            </w:r>
            <w:r>
              <w:rPr>
                <w:color w:val="475569"/>
                <w:sz w:val="19"/>
                <w:szCs w:val="19"/>
              </w:rPr>
              <w:t xml:space="preserve">  —  Reordered so authorization is checked first.</w:t>
            </w:r>
          </w:p>
        </w:tc>
        <w:tc>
          <w:tcPr>
            <w:tcW w:type="dxa" w:w="2100"/>
            <w:tcMar>
              <w:top w:type="dxa" w:w="80"/>
              <w:left w:type="dxa" w:w="100"/>
              <w:bottom w:type="dxa" w:w="80"/>
              <w:right w:type="dxa" w:w="100"/>
            </w:tcMar>
            <w:vAlign w:val="center"/>
          </w:tcPr>
          <w:p>
            <w:pPr>
              <w:jc w:val="left"/>
            </w:pPr>
            <w:r>
              <w:rPr>
                <w:b/>
                <w:bCs/>
                <w:color w:val="15803D"/>
                <w:sz w:val="19"/>
                <w:szCs w:val="19"/>
              </w:rPr>
              <w:t xml:space="preserve">Fixed</w:t>
            </w:r>
          </w:p>
        </w:tc>
      </w:tr>
      <w:tr>
        <w:tc>
          <w:tcPr>
            <w:tcW w:type="dxa" w:w="900"/>
            <w:shd w:fill="F3F4F6" w:val="clear"/>
            <w:tcMar>
              <w:top w:type="dxa" w:w="80"/>
              <w:left w:type="dxa" w:w="100"/>
              <w:bottom w:type="dxa" w:w="80"/>
              <w:right w:type="dxa" w:w="100"/>
            </w:tcMar>
            <w:vAlign w:val="center"/>
          </w:tcPr>
          <w:p>
            <w:pPr>
              <w:jc w:val="left"/>
            </w:pPr>
            <w:r>
              <w:rPr>
                <w:b/>
                <w:bCs/>
                <w:color w:val="B45309"/>
                <w:sz w:val="19"/>
                <w:szCs w:val="19"/>
              </w:rPr>
              <w:t xml:space="preserve">M8</w:t>
            </w:r>
          </w:p>
        </w:tc>
        <w:tc>
          <w:tcPr>
            <w:tcW w:type="dxa" w:w="6300"/>
            <w:shd w:fill="F3F4F6" w:val="clear"/>
            <w:tcMar>
              <w:top w:type="dxa" w:w="80"/>
              <w:left w:type="dxa" w:w="100"/>
              <w:bottom w:type="dxa" w:w="80"/>
              <w:right w:type="dxa" w:w="100"/>
            </w:tcMar>
            <w:vAlign w:val="center"/>
          </w:tcPr>
          <w:p>
            <w:pPr>
              <w:jc w:val="left"/>
            </w:pPr>
            <w:r>
              <w:rPr>
                <w:b/>
                <w:bCs/>
                <w:sz w:val="19"/>
                <w:szCs w:val="19"/>
              </w:rPr>
              <w:t xml:space="preserve">Audit trail entries could be silently lost</w:t>
            </w:r>
            <w:r>
              <w:rPr>
                <w:color w:val="475569"/>
                <w:sz w:val="19"/>
                <w:szCs w:val="19"/>
              </w:rPr>
              <w:t xml:space="preserve">  —  On the hosting platform, audit log writes could vanish under normal operation with no error — now uses the same reliability mechanism as the file-upload fix.</w:t>
            </w:r>
          </w:p>
        </w:tc>
        <w:tc>
          <w:tcPr>
            <w:tcW w:type="dxa" w:w="2100"/>
            <w:shd w:fill="F3F4F6" w:val="clear"/>
            <w:tcMar>
              <w:top w:type="dxa" w:w="80"/>
              <w:left w:type="dxa" w:w="100"/>
              <w:bottom w:type="dxa" w:w="80"/>
              <w:right w:type="dxa" w:w="100"/>
            </w:tcMar>
            <w:vAlign w:val="center"/>
          </w:tcPr>
          <w:p>
            <w:pPr>
              <w:jc w:val="left"/>
            </w:pPr>
            <w:r>
              <w:rPr>
                <w:b/>
                <w:bCs/>
                <w:color w:val="15803D"/>
                <w:sz w:val="19"/>
                <w:szCs w:val="19"/>
              </w:rPr>
              <w:t xml:space="preserve">Fixed</w:t>
            </w:r>
          </w:p>
        </w:tc>
      </w:tr>
      <w:tr>
        <w:tc>
          <w:tcPr>
            <w:tcW w:type="dxa" w:w="900"/>
            <w:tcMar>
              <w:top w:type="dxa" w:w="80"/>
              <w:left w:type="dxa" w:w="100"/>
              <w:bottom w:type="dxa" w:w="80"/>
              <w:right w:type="dxa" w:w="100"/>
            </w:tcMar>
            <w:vAlign w:val="center"/>
          </w:tcPr>
          <w:p>
            <w:pPr>
              <w:jc w:val="left"/>
            </w:pPr>
            <w:r>
              <w:rPr>
                <w:b/>
                <w:bCs/>
                <w:color w:val="B45309"/>
                <w:sz w:val="19"/>
                <w:szCs w:val="19"/>
              </w:rPr>
              <w:t xml:space="preserve">M9</w:t>
            </w:r>
          </w:p>
        </w:tc>
        <w:tc>
          <w:tcPr>
            <w:tcW w:type="dxa" w:w="6300"/>
            <w:tcMar>
              <w:top w:type="dxa" w:w="80"/>
              <w:left w:type="dxa" w:w="100"/>
              <w:bottom w:type="dxa" w:w="80"/>
              <w:right w:type="dxa" w:w="100"/>
            </w:tcMar>
            <w:vAlign w:val="center"/>
          </w:tcPr>
          <w:p>
            <w:pPr>
              <w:jc w:val="left"/>
            </w:pPr>
            <w:r>
              <w:rPr>
                <w:b/>
                <w:bCs/>
                <w:sz w:val="19"/>
                <w:szCs w:val="19"/>
              </w:rPr>
              <w:t xml:space="preserve">Photo upload accepted any file type</w:t>
            </w:r>
            <w:r>
              <w:rPr>
                <w:color w:val="475569"/>
                <w:sz w:val="19"/>
                <w:szCs w:val="19"/>
              </w:rPr>
              <w:t xml:space="preserve">  —  Could allow a malicious file to be stored and served back as if it were an image. Now restricted to real image types.</w:t>
            </w:r>
          </w:p>
        </w:tc>
        <w:tc>
          <w:tcPr>
            <w:tcW w:type="dxa" w:w="2100"/>
            <w:tcMar>
              <w:top w:type="dxa" w:w="80"/>
              <w:left w:type="dxa" w:w="100"/>
              <w:bottom w:type="dxa" w:w="80"/>
              <w:right w:type="dxa" w:w="100"/>
            </w:tcMar>
            <w:vAlign w:val="center"/>
          </w:tcPr>
          <w:p>
            <w:pPr>
              <w:jc w:val="left"/>
            </w:pPr>
            <w:r>
              <w:rPr>
                <w:b/>
                <w:bCs/>
                <w:color w:val="15803D"/>
                <w:sz w:val="19"/>
                <w:szCs w:val="19"/>
              </w:rPr>
              <w:t xml:space="preserve">Fixed</w:t>
            </w:r>
          </w:p>
        </w:tc>
      </w:tr>
      <w:tr>
        <w:tc>
          <w:tcPr>
            <w:tcW w:type="dxa" w:w="900"/>
            <w:shd w:fill="F3F4F6" w:val="clear"/>
            <w:tcMar>
              <w:top w:type="dxa" w:w="80"/>
              <w:left w:type="dxa" w:w="100"/>
              <w:bottom w:type="dxa" w:w="80"/>
              <w:right w:type="dxa" w:w="100"/>
            </w:tcMar>
            <w:vAlign w:val="center"/>
          </w:tcPr>
          <w:p>
            <w:pPr>
              <w:jc w:val="left"/>
            </w:pPr>
            <w:r>
              <w:rPr>
                <w:b/>
                <w:bCs/>
                <w:color w:val="B45309"/>
                <w:sz w:val="19"/>
                <w:szCs w:val="19"/>
              </w:rPr>
              <w:t xml:space="preserve">M10</w:t>
            </w:r>
          </w:p>
        </w:tc>
        <w:tc>
          <w:tcPr>
            <w:tcW w:type="dxa" w:w="6300"/>
            <w:shd w:fill="F3F4F6" w:val="clear"/>
            <w:tcMar>
              <w:top w:type="dxa" w:w="80"/>
              <w:left w:type="dxa" w:w="100"/>
              <w:bottom w:type="dxa" w:w="80"/>
              <w:right w:type="dxa" w:w="100"/>
            </w:tcMar>
            <w:vAlign w:val="center"/>
          </w:tcPr>
          <w:p>
            <w:pPr>
              <w:jc w:val="left"/>
            </w:pPr>
            <w:r>
              <w:rPr>
                <w:b/>
                <w:bCs/>
                <w:sz w:val="19"/>
                <w:szCs w:val="19"/>
              </w:rPr>
              <w:t xml:space="preserve">Unbounded page-size on a log-listing endpoint</w:t>
            </w:r>
            <w:r>
              <w:rPr>
                <w:color w:val="475569"/>
                <w:sz w:val="19"/>
                <w:szCs w:val="19"/>
              </w:rPr>
              <w:t xml:space="preserve">  —  Could be used to pull an entire table in one request, or crash the query with bad input. Bounded and hardened.</w:t>
            </w:r>
          </w:p>
        </w:tc>
        <w:tc>
          <w:tcPr>
            <w:tcW w:type="dxa" w:w="2100"/>
            <w:shd w:fill="F3F4F6" w:val="clear"/>
            <w:tcMar>
              <w:top w:type="dxa" w:w="80"/>
              <w:left w:type="dxa" w:w="100"/>
              <w:bottom w:type="dxa" w:w="80"/>
              <w:right w:type="dxa" w:w="100"/>
            </w:tcMar>
            <w:vAlign w:val="center"/>
          </w:tcPr>
          <w:p>
            <w:pPr>
              <w:jc w:val="left"/>
            </w:pPr>
            <w:r>
              <w:rPr>
                <w:b/>
                <w:bCs/>
                <w:color w:val="15803D"/>
                <w:sz w:val="19"/>
                <w:szCs w:val="19"/>
              </w:rPr>
              <w:t xml:space="preserve">Fixed</w:t>
            </w:r>
          </w:p>
        </w:tc>
      </w:tr>
      <w:tr>
        <w:tc>
          <w:tcPr>
            <w:tcW w:type="dxa" w:w="900"/>
            <w:tcMar>
              <w:top w:type="dxa" w:w="80"/>
              <w:left w:type="dxa" w:w="100"/>
              <w:bottom w:type="dxa" w:w="80"/>
              <w:right w:type="dxa" w:w="100"/>
            </w:tcMar>
            <w:vAlign w:val="center"/>
          </w:tcPr>
          <w:p>
            <w:pPr>
              <w:jc w:val="left"/>
            </w:pPr>
            <w:r>
              <w:rPr>
                <w:b/>
                <w:bCs/>
                <w:color w:val="B45309"/>
                <w:sz w:val="19"/>
                <w:szCs w:val="19"/>
              </w:rPr>
              <w:t xml:space="preserve">M11</w:t>
            </w:r>
          </w:p>
        </w:tc>
        <w:tc>
          <w:tcPr>
            <w:tcW w:type="dxa" w:w="6300"/>
            <w:tcMar>
              <w:top w:type="dxa" w:w="80"/>
              <w:left w:type="dxa" w:w="100"/>
              <w:bottom w:type="dxa" w:w="80"/>
              <w:right w:type="dxa" w:w="100"/>
            </w:tcMar>
            <w:vAlign w:val="center"/>
          </w:tcPr>
          <w:p>
            <w:pPr>
              <w:jc w:val="left"/>
            </w:pPr>
            <w:r>
              <w:rPr>
                <w:b/>
                <w:bCs/>
                <w:sz w:val="19"/>
                <w:szCs w:val="19"/>
              </w:rPr>
              <w:t xml:space="preserve">Vulnerable and dead dependencies</w:t>
            </w:r>
            <w:r>
              <w:rPr>
                <w:color w:val="475569"/>
                <w:sz w:val="19"/>
                <w:szCs w:val="19"/>
              </w:rPr>
              <w:t xml:space="preserve">  —  Removed two unused libraries carrying a moderate-severity flaw; updated the email library past several high-severity flaws.</w:t>
            </w:r>
          </w:p>
        </w:tc>
        <w:tc>
          <w:tcPr>
            <w:tcW w:type="dxa" w:w="2100"/>
            <w:tcMar>
              <w:top w:type="dxa" w:w="80"/>
              <w:left w:type="dxa" w:w="100"/>
              <w:bottom w:type="dxa" w:w="80"/>
              <w:right w:type="dxa" w:w="100"/>
            </w:tcMar>
            <w:vAlign w:val="center"/>
          </w:tcPr>
          <w:p>
            <w:pPr>
              <w:jc w:val="left"/>
            </w:pPr>
            <w:r>
              <w:rPr>
                <w:b/>
                <w:bCs/>
                <w:color w:val="15803D"/>
                <w:sz w:val="19"/>
                <w:szCs w:val="19"/>
              </w:rPr>
              <w:t xml:space="preserve">Fixed (remainder deferred — see below)</w:t>
            </w:r>
          </w:p>
        </w:tc>
      </w:tr>
      <w:tr>
        <w:tc>
          <w:tcPr>
            <w:tcW w:type="dxa" w:w="900"/>
            <w:shd w:fill="F3F4F6" w:val="clear"/>
            <w:tcMar>
              <w:top w:type="dxa" w:w="80"/>
              <w:left w:type="dxa" w:w="100"/>
              <w:bottom w:type="dxa" w:w="80"/>
              <w:right w:type="dxa" w:w="100"/>
            </w:tcMar>
            <w:vAlign w:val="center"/>
          </w:tcPr>
          <w:p>
            <w:pPr>
              <w:jc w:val="left"/>
            </w:pPr>
            <w:r>
              <w:rPr>
                <w:b/>
                <w:bCs/>
                <w:color w:val="475569"/>
                <w:sz w:val="19"/>
                <w:szCs w:val="19"/>
              </w:rPr>
              <w:t xml:space="preserve">L1–L7</w:t>
            </w:r>
          </w:p>
        </w:tc>
        <w:tc>
          <w:tcPr>
            <w:tcW w:type="dxa" w:w="6300"/>
            <w:shd w:fill="F3F4F6" w:val="clear"/>
            <w:tcMar>
              <w:top w:type="dxa" w:w="80"/>
              <w:left w:type="dxa" w:w="100"/>
              <w:bottom w:type="dxa" w:w="80"/>
              <w:right w:type="dxa" w:w="100"/>
            </w:tcMar>
            <w:vAlign w:val="center"/>
          </w:tcPr>
          <w:p>
            <w:pPr>
              <w:jc w:val="left"/>
            </w:pPr>
            <w:r>
              <w:rPr>
                <w:b/>
                <w:bCs/>
                <w:sz w:val="19"/>
                <w:szCs w:val="19"/>
              </w:rPr>
              <w:t xml:space="preserve">Seven lower-severity issues</w:t>
            </w:r>
            <w:r>
              <w:rPr>
                <w:color w:val="475569"/>
                <w:sz w:val="19"/>
                <w:szCs w:val="19"/>
              </w:rPr>
              <w:t xml:space="preserve">  —  Missing scope checks, minor input-validation gaps, and information-disclosure edge cases across several endpoints. Six of seven fixed; one (a header-hardening nuance with no practical exploit path found) left for a future pass.</w:t>
            </w:r>
          </w:p>
        </w:tc>
        <w:tc>
          <w:tcPr>
            <w:tcW w:type="dxa" w:w="2100"/>
            <w:shd w:fill="F3F4F6" w:val="clear"/>
            <w:tcMar>
              <w:top w:type="dxa" w:w="80"/>
              <w:left w:type="dxa" w:w="100"/>
              <w:bottom w:type="dxa" w:w="80"/>
              <w:right w:type="dxa" w:w="100"/>
            </w:tcMar>
            <w:vAlign w:val="center"/>
          </w:tcPr>
          <w:p>
            <w:pPr>
              <w:jc w:val="left"/>
            </w:pPr>
            <w:r>
              <w:rPr>
                <w:b/>
                <w:bCs/>
                <w:color w:val="15803D"/>
                <w:sz w:val="19"/>
                <w:szCs w:val="19"/>
              </w:rPr>
              <w:t xml:space="preserve">Fixed (6 of 7)</w:t>
            </w:r>
          </w:p>
        </w:tc>
      </w:tr>
    </w:tbl>
    <w:p>
      <w:pPr>
        <w:pStyle w:val="Heading1"/>
        <w:spacing w:after="160" w:before="360"/>
      </w:pPr>
      <w:r>
        <w:rPr>
          <w:b/>
          <w:bCs/>
          <w:color w:val="1F2937"/>
          <w:sz w:val="30"/>
          <w:szCs w:val="30"/>
        </w:rPr>
        <w:t xml:space="preserve">5. Performance Findings</w:t>
      </w:r>
    </w:p>
    <w:p>
      <w:pPr>
        <w:spacing w:after="160" w:line="300"/>
      </w:pPr>
      <w:r>
        <w:rPr>
          <w:color w:val="1F2937"/>
          <w:sz w:val="21"/>
          <w:szCs w:val="21"/>
        </w:rPr>
        <w:t xml:space="preserve">These affect how the application behaves under real load and how reliably access-control changes take effect, rather than being exploitable security holes on their 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2100"/>
      </w:tblGrid>
      <w:tr>
        <w:trPr>
          <w:tblHeader/>
        </w:trPr>
        <w:tc>
          <w:tcPr>
            <w:tcW w:type="dxa" w:w="900"/>
            <w:shd w:fill="1F2937" w:val="clear"/>
            <w:tcMar>
              <w:top w:type="dxa" w:w="80"/>
              <w:left w:type="dxa" w:w="100"/>
              <w:bottom w:type="dxa" w:w="80"/>
              <w:right w:type="dxa" w:w="100"/>
            </w:tcMar>
            <w:vAlign w:val="center"/>
          </w:tcPr>
          <w:p>
            <w:pPr>
              <w:jc w:val="left"/>
            </w:pPr>
            <w:r>
              <w:rPr>
                <w:b/>
                <w:bCs/>
                <w:color w:val="FFFFFF"/>
                <w:sz w:val="19"/>
                <w:szCs w:val="19"/>
              </w:rPr>
              <w:t xml:space="preserve">Sev.</w:t>
            </w:r>
          </w:p>
        </w:tc>
        <w:tc>
          <w:tcPr>
            <w:tcW w:type="dxa" w:w="6300"/>
            <w:shd w:fill="1F2937" w:val="clear"/>
            <w:tcMar>
              <w:top w:type="dxa" w:w="80"/>
              <w:left w:type="dxa" w:w="100"/>
              <w:bottom w:type="dxa" w:w="80"/>
              <w:right w:type="dxa" w:w="100"/>
            </w:tcMar>
            <w:vAlign w:val="center"/>
          </w:tcPr>
          <w:p>
            <w:pPr>
              <w:jc w:val="left"/>
            </w:pPr>
            <w:r>
              <w:rPr>
                <w:b/>
                <w:bCs/>
                <w:color w:val="FFFFFF"/>
                <w:sz w:val="19"/>
                <w:szCs w:val="19"/>
              </w:rPr>
              <w:t xml:space="preserve">Finding &amp; Fix</w:t>
            </w:r>
          </w:p>
        </w:tc>
        <w:tc>
          <w:tcPr>
            <w:tcW w:type="dxa" w:w="2100"/>
            <w:shd w:fill="1F2937" w:val="clear"/>
            <w:tcMar>
              <w:top w:type="dxa" w:w="80"/>
              <w:left w:type="dxa" w:w="100"/>
              <w:bottom w:type="dxa" w:w="80"/>
              <w:right w:type="dxa" w:w="100"/>
            </w:tcMar>
            <w:vAlign w:val="center"/>
          </w:tcPr>
          <w:p>
            <w:pPr>
              <w:jc w:val="left"/>
            </w:pPr>
            <w:r>
              <w:rPr>
                <w:b/>
                <w:bCs/>
                <w:color w:val="FFFFFF"/>
                <w:sz w:val="19"/>
                <w:szCs w:val="19"/>
              </w:rPr>
              <w:t xml:space="preserve">Status</w:t>
            </w:r>
          </w:p>
        </w:tc>
      </w:tr>
      <w:tr>
        <w:tc>
          <w:tcPr>
            <w:tcW w:type="dxa" w:w="900"/>
            <w:tcMar>
              <w:top w:type="dxa" w:w="80"/>
              <w:left w:type="dxa" w:w="100"/>
              <w:bottom w:type="dxa" w:w="80"/>
              <w:right w:type="dxa" w:w="100"/>
            </w:tcMar>
            <w:vAlign w:val="center"/>
          </w:tcPr>
          <w:p>
            <w:pPr>
              <w:jc w:val="left"/>
            </w:pPr>
            <w:r>
              <w:rPr>
                <w:b/>
                <w:bCs/>
                <w:color w:val="B45309"/>
                <w:sz w:val="19"/>
                <w:szCs w:val="19"/>
              </w:rPr>
              <w:t xml:space="preserve">P1</w:t>
            </w:r>
          </w:p>
        </w:tc>
        <w:tc>
          <w:tcPr>
            <w:tcW w:type="dxa" w:w="6300"/>
            <w:tcMar>
              <w:top w:type="dxa" w:w="80"/>
              <w:left w:type="dxa" w:w="100"/>
              <w:bottom w:type="dxa" w:w="80"/>
              <w:right w:type="dxa" w:w="100"/>
            </w:tcMar>
            <w:vAlign w:val="center"/>
          </w:tcPr>
          <w:p>
            <w:pPr>
              <w:jc w:val="left"/>
            </w:pPr>
            <w:r>
              <w:rPr>
                <w:b/>
                <w:bCs/>
                <w:sz w:val="19"/>
                <w:szCs w:val="19"/>
              </w:rPr>
              <w:t xml:space="preserve">Cache was memory-only per server, not shared</w:t>
            </w:r>
            <w:r>
              <w:rPr>
                <w:color w:val="475569"/>
                <w:sz w:val="19"/>
                <w:szCs w:val="19"/>
              </w:rPr>
              <w:t xml:space="preserve">  —  Same root cause as M1 above — rewired to the real shared cache.</w:t>
            </w:r>
          </w:p>
        </w:tc>
        <w:tc>
          <w:tcPr>
            <w:tcW w:type="dxa" w:w="2100"/>
            <w:tcMar>
              <w:top w:type="dxa" w:w="80"/>
              <w:left w:type="dxa" w:w="100"/>
              <w:bottom w:type="dxa" w:w="80"/>
              <w:right w:type="dxa" w:w="100"/>
            </w:tcMar>
            <w:vAlign w:val="center"/>
          </w:tcPr>
          <w:p>
            <w:pPr>
              <w:jc w:val="left"/>
            </w:pPr>
            <w:r>
              <w:rPr>
                <w:b/>
                <w:bCs/>
                <w:color w:val="B91C1C"/>
                <w:sz w:val="19"/>
                <w:szCs w:val="19"/>
              </w:rPr>
              <w:t xml:space="preserve">Needs your action — see below</w:t>
            </w:r>
          </w:p>
        </w:tc>
      </w:tr>
      <w:tr>
        <w:tc>
          <w:tcPr>
            <w:tcW w:type="dxa" w:w="900"/>
            <w:shd w:fill="F3F4F6" w:val="clear"/>
            <w:tcMar>
              <w:top w:type="dxa" w:w="80"/>
              <w:left w:type="dxa" w:w="100"/>
              <w:bottom w:type="dxa" w:w="80"/>
              <w:right w:type="dxa" w:w="100"/>
            </w:tcMar>
            <w:vAlign w:val="center"/>
          </w:tcPr>
          <w:p>
            <w:pPr>
              <w:jc w:val="left"/>
            </w:pPr>
            <w:r>
              <w:rPr>
                <w:b/>
                <w:bCs/>
                <w:color w:val="B45309"/>
                <w:sz w:val="19"/>
                <w:szCs w:val="19"/>
              </w:rPr>
              <w:t xml:space="preserve">P2</w:t>
            </w:r>
          </w:p>
        </w:tc>
        <w:tc>
          <w:tcPr>
            <w:tcW w:type="dxa" w:w="6300"/>
            <w:shd w:fill="F3F4F6" w:val="clear"/>
            <w:tcMar>
              <w:top w:type="dxa" w:w="80"/>
              <w:left w:type="dxa" w:w="100"/>
              <w:bottom w:type="dxa" w:w="80"/>
              <w:right w:type="dxa" w:w="100"/>
            </w:tcMar>
            <w:vAlign w:val="center"/>
          </w:tcPr>
          <w:p>
            <w:pPr>
              <w:jc w:val="left"/>
            </w:pPr>
            <w:r>
              <w:rPr>
                <w:b/>
                <w:bCs/>
                <w:sz w:val="19"/>
                <w:szCs w:val="19"/>
              </w:rPr>
              <w:t xml:space="preserve">A permission check re-ran a database query on every single request</w:t>
            </w:r>
            <w:r>
              <w:rPr>
                <w:color w:val="475569"/>
                <w:sz w:val="19"/>
                <w:szCs w:val="19"/>
              </w:rPr>
              <w:t xml:space="preserve">  —  Even when the result was already cached. Fixed — now only queries on an actual cache miss.</w:t>
            </w:r>
          </w:p>
        </w:tc>
        <w:tc>
          <w:tcPr>
            <w:tcW w:type="dxa" w:w="2100"/>
            <w:shd w:fill="F3F4F6" w:val="clear"/>
            <w:tcMar>
              <w:top w:type="dxa" w:w="80"/>
              <w:left w:type="dxa" w:w="100"/>
              <w:bottom w:type="dxa" w:w="80"/>
              <w:right w:type="dxa" w:w="100"/>
            </w:tcMar>
            <w:vAlign w:val="center"/>
          </w:tcPr>
          <w:p>
            <w:pPr>
              <w:jc w:val="left"/>
            </w:pPr>
            <w:r>
              <w:rPr>
                <w:b/>
                <w:bCs/>
                <w:color w:val="15803D"/>
                <w:sz w:val="19"/>
                <w:szCs w:val="19"/>
              </w:rPr>
              <w:t xml:space="preserve">Fixed</w:t>
            </w:r>
          </w:p>
        </w:tc>
      </w:tr>
      <w:tr>
        <w:tc>
          <w:tcPr>
            <w:tcW w:type="dxa" w:w="900"/>
            <w:tcMar>
              <w:top w:type="dxa" w:w="80"/>
              <w:left w:type="dxa" w:w="100"/>
              <w:bottom w:type="dxa" w:w="80"/>
              <w:right w:type="dxa" w:w="100"/>
            </w:tcMar>
            <w:vAlign w:val="center"/>
          </w:tcPr>
          <w:p>
            <w:pPr>
              <w:jc w:val="left"/>
            </w:pPr>
            <w:r>
              <w:rPr>
                <w:b/>
                <w:bCs/>
                <w:color w:val="B45309"/>
                <w:sz w:val="19"/>
                <w:szCs w:val="19"/>
              </w:rPr>
              <w:t xml:space="preserve">P3</w:t>
            </w:r>
          </w:p>
        </w:tc>
        <w:tc>
          <w:tcPr>
            <w:tcW w:type="dxa" w:w="6300"/>
            <w:tcMar>
              <w:top w:type="dxa" w:w="80"/>
              <w:left w:type="dxa" w:w="100"/>
              <w:bottom w:type="dxa" w:w="80"/>
              <w:right w:type="dxa" w:w="100"/>
            </w:tcMar>
            <w:vAlign w:val="center"/>
          </w:tcPr>
          <w:p>
            <w:pPr>
              <w:jc w:val="left"/>
            </w:pPr>
            <w:r>
              <w:rPr>
                <w:b/>
                <w:bCs/>
                <w:sz w:val="19"/>
                <w:szCs w:val="19"/>
              </w:rPr>
              <w:t xml:space="preserve">Duplicate-detection queries could not use their own index</w:t>
            </w:r>
            <w:r>
              <w:rPr>
                <w:color w:val="475569"/>
                <w:sz w:val="19"/>
                <w:szCs w:val="19"/>
              </w:rPr>
              <w:t xml:space="preserve">  —  A formatting step in the query prevented the database from using an existing index, forcing a full scan of every existing record on each bulk upload. Removed — the data was already in the right format before the query ran.</w:t>
            </w:r>
          </w:p>
        </w:tc>
        <w:tc>
          <w:tcPr>
            <w:tcW w:type="dxa" w:w="2100"/>
            <w:tcMar>
              <w:top w:type="dxa" w:w="80"/>
              <w:left w:type="dxa" w:w="100"/>
              <w:bottom w:type="dxa" w:w="80"/>
              <w:right w:type="dxa" w:w="100"/>
            </w:tcMar>
            <w:vAlign w:val="center"/>
          </w:tcPr>
          <w:p>
            <w:pPr>
              <w:jc w:val="left"/>
            </w:pPr>
            <w:r>
              <w:rPr>
                <w:b/>
                <w:bCs/>
                <w:color w:val="15803D"/>
                <w:sz w:val="19"/>
                <w:szCs w:val="19"/>
              </w:rPr>
              <w:t xml:space="preserve">Fixed</w:t>
            </w:r>
          </w:p>
        </w:tc>
      </w:tr>
      <w:tr>
        <w:tc>
          <w:tcPr>
            <w:tcW w:type="dxa" w:w="900"/>
            <w:shd w:fill="F3F4F6" w:val="clear"/>
            <w:tcMar>
              <w:top w:type="dxa" w:w="80"/>
              <w:left w:type="dxa" w:w="100"/>
              <w:bottom w:type="dxa" w:w="80"/>
              <w:right w:type="dxa" w:w="100"/>
            </w:tcMar>
            <w:vAlign w:val="center"/>
          </w:tcPr>
          <w:p>
            <w:pPr>
              <w:jc w:val="left"/>
            </w:pPr>
            <w:r>
              <w:rPr>
                <w:b/>
                <w:bCs/>
                <w:color w:val="475569"/>
                <w:sz w:val="19"/>
                <w:szCs w:val="19"/>
              </w:rPr>
              <w:t xml:space="preserve">P4</w:t>
            </w:r>
          </w:p>
        </w:tc>
        <w:tc>
          <w:tcPr>
            <w:tcW w:type="dxa" w:w="6300"/>
            <w:shd w:fill="F3F4F6" w:val="clear"/>
            <w:tcMar>
              <w:top w:type="dxa" w:w="80"/>
              <w:left w:type="dxa" w:w="100"/>
              <w:bottom w:type="dxa" w:w="80"/>
              <w:right w:type="dxa" w:w="100"/>
            </w:tcMar>
            <w:vAlign w:val="center"/>
          </w:tcPr>
          <w:p>
            <w:pPr>
              <w:jc w:val="left"/>
            </w:pPr>
            <w:r>
              <w:rPr>
                <w:b/>
                <w:bCs/>
                <w:sz w:val="19"/>
                <w:szCs w:val="19"/>
              </w:rPr>
              <w:t xml:space="preserve">No explicit execution time limit set for the hosting platform</w:t>
            </w:r>
            <w:r>
              <w:rPr>
                <w:color w:val="475569"/>
                <w:sz w:val="19"/>
                <w:szCs w:val="19"/>
              </w:rPr>
              <w:t xml:space="preserve">  —  The just-shipped background-processing fix depends on this; without it, very large uploads may still time out at whatever the platform default is.</w:t>
            </w:r>
          </w:p>
        </w:tc>
        <w:tc>
          <w:tcPr>
            <w:tcW w:type="dxa" w:w="2100"/>
            <w:shd w:fill="F3F4F6" w:val="clear"/>
            <w:tcMar>
              <w:top w:type="dxa" w:w="80"/>
              <w:left w:type="dxa" w:w="100"/>
              <w:bottom w:type="dxa" w:w="80"/>
              <w:right w:type="dxa" w:w="100"/>
            </w:tcMar>
            <w:vAlign w:val="center"/>
          </w:tcPr>
          <w:p>
            <w:pPr>
              <w:jc w:val="left"/>
            </w:pPr>
            <w:r>
              <w:rPr>
                <w:b/>
                <w:bCs/>
                <w:color w:val="B91C1C"/>
                <w:sz w:val="19"/>
                <w:szCs w:val="19"/>
              </w:rPr>
              <w:t xml:space="preserve">Needs your action — see below</w:t>
            </w:r>
          </w:p>
        </w:tc>
      </w:tr>
      <w:tr>
        <w:tc>
          <w:tcPr>
            <w:tcW w:type="dxa" w:w="900"/>
            <w:tcMar>
              <w:top w:type="dxa" w:w="80"/>
              <w:left w:type="dxa" w:w="100"/>
              <w:bottom w:type="dxa" w:w="80"/>
              <w:right w:type="dxa" w:w="100"/>
            </w:tcMar>
            <w:vAlign w:val="center"/>
          </w:tcPr>
          <w:p>
            <w:pPr>
              <w:jc w:val="left"/>
            </w:pPr>
            <w:r>
              <w:rPr>
                <w:b/>
                <w:bCs/>
                <w:color w:val="B45309"/>
                <w:sz w:val="19"/>
                <w:szCs w:val="19"/>
              </w:rPr>
              <w:t xml:space="preserve">P5</w:t>
            </w:r>
          </w:p>
        </w:tc>
        <w:tc>
          <w:tcPr>
            <w:tcW w:type="dxa" w:w="6300"/>
            <w:tcMar>
              <w:top w:type="dxa" w:w="80"/>
              <w:left w:type="dxa" w:w="100"/>
              <w:bottom w:type="dxa" w:w="80"/>
              <w:right w:type="dxa" w:w="100"/>
            </w:tcMar>
            <w:vAlign w:val="center"/>
          </w:tcPr>
          <w:p>
            <w:pPr>
              <w:jc w:val="left"/>
            </w:pPr>
            <w:r>
              <w:rPr>
                <w:b/>
                <w:bCs/>
                <w:sz w:val="19"/>
                <w:szCs w:val="19"/>
              </w:rPr>
              <w:t xml:space="preserve">Database connection pool oversized for how the app is hosted</w:t>
            </w:r>
            <w:r>
              <w:rPr>
                <w:color w:val="475569"/>
                <w:sz w:val="19"/>
                <w:szCs w:val="19"/>
              </w:rPr>
              <w:t xml:space="preserve">  —  Each server instance was configured to hold far more database connections than it needs, risking exhausting the database’s connection limit under traffic spikes. Reduced to a size appropriate for the hosting model.</w:t>
            </w:r>
          </w:p>
        </w:tc>
        <w:tc>
          <w:tcPr>
            <w:tcW w:type="dxa" w:w="2100"/>
            <w:tcMar>
              <w:top w:type="dxa" w:w="80"/>
              <w:left w:type="dxa" w:w="100"/>
              <w:bottom w:type="dxa" w:w="80"/>
              <w:right w:type="dxa" w:w="100"/>
            </w:tcMar>
            <w:vAlign w:val="center"/>
          </w:tcPr>
          <w:p>
            <w:pPr>
              <w:jc w:val="left"/>
            </w:pPr>
            <w:r>
              <w:rPr>
                <w:b/>
                <w:bCs/>
                <w:color w:val="15803D"/>
                <w:sz w:val="19"/>
                <w:szCs w:val="19"/>
              </w:rPr>
              <w:t xml:space="preserve">Fixed</w:t>
            </w:r>
          </w:p>
        </w:tc>
      </w:tr>
    </w:tbl>
    <w:p>
      <w:pPr>
        <w:pStyle w:val="Heading1"/>
        <w:spacing w:after="160" w:before="360"/>
      </w:pPr>
      <w:r>
        <w:rPr>
          <w:b/>
          <w:bCs/>
          <w:color w:val="1F2937"/>
          <w:sz w:val="30"/>
          <w:szCs w:val="30"/>
        </w:rPr>
        <w:t xml:space="preserve">6. Action Required From You / Ops</w:t>
      </w:r>
    </w:p>
    <w:p>
      <w:pPr>
        <w:spacing w:after="160" w:line="300"/>
      </w:pPr>
      <w:r>
        <w:rPr>
          <w:color w:val="1F2937"/>
          <w:sz w:val="21"/>
          <w:szCs w:val="21"/>
        </w:rPr>
        <w:t xml:space="preserve">These three items are outside what code changes alone can fix — they need a decision or access to external systems (hosting dashboard, database provider, cache provider):</w:t>
      </w:r>
    </w:p>
    <w:p>
      <w:pPr>
        <w:pStyle w:val="ListParagraph"/>
        <w:numPr>
          <w:ilvl w:val="0"/>
          <w:numId w:val="2"/>
        </w:numPr>
        <w:spacing w:after="90" w:line="280"/>
      </w:pPr>
      <w:r>
        <w:rPr>
          <w:b/>
          <w:bCs/>
          <w:color w:val="1F2937"/>
          <w:sz w:val="21"/>
          <w:szCs w:val="21"/>
        </w:rPr>
        <w:t xml:space="preserve">Rotate the admin account password and any database credentials. The code no longer hardcodes them, but the previous values were committed to git history and must be treated as compromised regardless of the code fix — rotating them is the only way to actually close this out.</w:t>
      </w:r>
    </w:p>
    <w:p>
      <w:pPr>
        <w:pStyle w:val="ListParagraph"/>
        <w:numPr>
          <w:ilvl w:val="0"/>
          <w:numId w:val="2"/>
        </w:numPr>
        <w:spacing w:after="90" w:line="280"/>
      </w:pPr>
      <w:r>
        <w:rPr>
          <w:color w:val="1F2937"/>
          <w:sz w:val="21"/>
          <w:szCs w:val="21"/>
        </w:rPr>
        <w:t xml:space="preserve">Provision a working shared cache instance. The cache credentials already present in the environment configuration point to an instance that no longer resolves (it appears to have been deleted or was never fully set up). The application now handles this gracefully — it detects the failure once and falls back safely rather than slowing every request down — but until this is fixed, permission/role changes can take up to 10 minutes to take effect on some servers instead of immediately, which was the whole point of the fix.</w:t>
      </w:r>
    </w:p>
    <w:p>
      <w:pPr>
        <w:pStyle w:val="ListParagraph"/>
        <w:numPr>
          <w:ilvl w:val="0"/>
          <w:numId w:val="2"/>
        </w:numPr>
        <w:spacing w:after="90" w:line="280"/>
      </w:pPr>
      <w:r>
        <w:rPr>
          <w:color w:val="1F2937"/>
          <w:sz w:val="21"/>
          <w:szCs w:val="21"/>
        </w:rPr>
        <w:t xml:space="preserve">Set an explicit maximum execution time for the backend on the hosting platform. This can’t be set safely from the code’s deploy configuration file without risking breaking the existing working deployment, so it needs to be set via the hosting dashboard’s project settings instead. This directly affects how large an upload can be processed reliably.</w:t>
      </w:r>
    </w:p>
    <w:p>
      <w:pPr>
        <w:pStyle w:val="Heading1"/>
        <w:spacing w:after="160" w:before="360"/>
      </w:pPr>
      <w:r>
        <w:rPr>
          <w:b/>
          <w:bCs/>
          <w:color w:val="1F2937"/>
          <w:sz w:val="30"/>
          <w:szCs w:val="30"/>
        </w:rPr>
        <w:t xml:space="preserve">7. Deferred (Documented, Not Blocking)</w:t>
      </w:r>
    </w:p>
    <w:p>
      <w:pPr>
        <w:spacing w:after="160" w:line="300"/>
      </w:pPr>
      <w:r>
        <w:rPr>
          <w:color w:val="1F2937"/>
          <w:sz w:val="21"/>
          <w:szCs w:val="21"/>
        </w:rPr>
        <w:t xml:space="preserve">A small number of lower-priority items were identified but intentionally not changed today, each for a specific reason rather than being overlooked:</w:t>
      </w:r>
    </w:p>
    <w:p>
      <w:pPr>
        <w:pStyle w:val="ListParagraph"/>
        <w:numPr>
          <w:ilvl w:val="0"/>
          <w:numId w:val="2"/>
        </w:numPr>
        <w:spacing w:after="90" w:line="280"/>
      </w:pPr>
      <w:r>
        <w:rPr>
          <w:color w:val="1F2937"/>
          <w:sz w:val="21"/>
          <w:szCs w:val="21"/>
        </w:rPr>
        <w:t xml:space="preserve">A handful of remaining outdated packages (in the spreadsheet-parsing and cloud-storage libraries) have known low/moderate advisories, but the only available fixes are major version changes that risk breaking the upload pipeline just fixed in this pass — recommend a dedicated follow-up with full regression testing rather than a same-day change.</w:t>
      </w:r>
    </w:p>
    <w:p>
      <w:pPr>
        <w:pStyle w:val="ListParagraph"/>
        <w:numPr>
          <w:ilvl w:val="0"/>
          <w:numId w:val="2"/>
        </w:numPr>
        <w:spacing w:after="90" w:line="280"/>
      </w:pPr>
      <w:r>
        <w:rPr>
          <w:color w:val="1F2937"/>
          <w:sz w:val="21"/>
          <w:szCs w:val="21"/>
        </w:rPr>
        <w:t xml:space="preserve">One low-severity header-hardening nuance (a security header that’s technically imprecise for an API but has no identified practical exploit) was left as-is pending a broader look at response headers.</w:t>
      </w:r>
    </w:p>
    <w:p>
      <w:pPr>
        <w:pStyle w:val="ListParagraph"/>
        <w:numPr>
          <w:ilvl w:val="0"/>
          <w:numId w:val="2"/>
        </w:numPr>
        <w:spacing w:after="90" w:line="280"/>
      </w:pPr>
      <w:r>
        <w:rPr>
          <w:color w:val="1F2937"/>
          <w:sz w:val="21"/>
          <w:szCs w:val="21"/>
        </w:rPr>
        <w:t xml:space="preserve">Two pre-existing, unrelated automated test failures were found during verification (in a follow-ups feature and an import-schema helper). Confirmed unrelated to any change in this pass — flagged for separate triage, not fixed here.</w:t>
      </w:r>
    </w:p>
    <w:p>
      <w:pPr>
        <w:pStyle w:val="Heading1"/>
        <w:spacing w:after="160" w:before="360"/>
      </w:pPr>
      <w:r>
        <w:rPr>
          <w:b/>
          <w:bCs/>
          <w:color w:val="1F2937"/>
          <w:sz w:val="30"/>
          <w:szCs w:val="30"/>
        </w:rPr>
        <w:t xml:space="preserve">8. Verification Performed</w:t>
      </w:r>
    </w:p>
    <w:p>
      <w:pPr>
        <w:pStyle w:val="ListParagraph"/>
        <w:numPr>
          <w:ilvl w:val="0"/>
          <w:numId w:val="2"/>
        </w:numPr>
        <w:spacing w:after="90" w:line="280"/>
      </w:pPr>
      <w:r>
        <w:rPr>
          <w:color w:val="1F2937"/>
          <w:sz w:val="21"/>
          <w:szCs w:val="21"/>
        </w:rPr>
        <w:t xml:space="preserve">Ran the full automated test suite before and after all changes — no new failures introduced (84/86 passing both times; the 2 failures pre-date this work).</w:t>
      </w:r>
    </w:p>
    <w:p>
      <w:pPr>
        <w:pStyle w:val="ListParagraph"/>
        <w:numPr>
          <w:ilvl w:val="0"/>
          <w:numId w:val="2"/>
        </w:numPr>
        <w:spacing w:after="90" w:line="280"/>
      </w:pPr>
      <w:r>
        <w:rPr>
          <w:color w:val="1F2937"/>
          <w:sz w:val="21"/>
          <w:szCs w:val="21"/>
        </w:rPr>
        <w:t xml:space="preserve">Booted the application locally against the live database end-to-end and manually verified: successful login, the corrected CORS behavior (allowed origin succeeds, disallowed origin is rejected), the corrected diagnostic-endpoint behavior (hidden in production), and the corrected user-permissions endpoint.</w:t>
      </w:r>
    </w:p>
    <w:p>
      <w:pPr>
        <w:pStyle w:val="ListParagraph"/>
        <w:numPr>
          <w:ilvl w:val="0"/>
          <w:numId w:val="2"/>
        </w:numPr>
        <w:spacing w:after="90" w:line="280"/>
      </w:pPr>
      <w:r>
        <w:rPr>
          <w:color w:val="1F2937"/>
          <w:sz w:val="21"/>
          <w:szCs w:val="21"/>
        </w:rPr>
        <w:t xml:space="preserve">Caught and fixed one issue during this verification that the automated review missed: enabling proper database certificate validation, on its own, would have broken the database connection entirely in production due to a leftover, conflicting certificate file from a past database migration. Found by actually booting the server, not just by reading the code — fixed before it could cause an outage.</w:t>
      </w:r>
    </w:p>
    <w:p>
      <w:pPr>
        <w:pStyle w:val="ListParagraph"/>
        <w:numPr>
          <w:ilvl w:val="0"/>
          <w:numId w:val="2"/>
        </w:numPr>
        <w:spacing w:after="90" w:line="280"/>
      </w:pPr>
      <w:r>
        <w:rPr>
          <w:color w:val="1F2937"/>
          <w:sz w:val="21"/>
          <w:szCs w:val="21"/>
        </w:rPr>
        <w:t xml:space="preserve">Caught and fixed a second issue during verification: the newly-connected cache service turned out to be unreachable in practice, and the first implementation would have added several seconds of delay to every single request as a result. Added a safeguard so it fails fast once and falls back safely, rather than repeatedly slowing down every request.</w:t>
      </w:r>
    </w:p>
    <w:p>
      <w:pPr>
        <w:pStyle w:val="ListParagraph"/>
        <w:numPr>
          <w:ilvl w:val="0"/>
          <w:numId w:val="2"/>
        </w:numPr>
        <w:spacing w:after="90" w:line="280"/>
      </w:pPr>
      <w:r>
        <w:rPr>
          <w:color w:val="1F2937"/>
          <w:sz w:val="21"/>
          <w:szCs w:val="21"/>
        </w:rPr>
        <w:t xml:space="preserve">Generated a real spreadsheet file and confirmed the new upload-size safety check does not falsely reject legitimate files.</w:t>
      </w:r>
    </w:p>
    <w:p>
      <w:pPr>
        <w:pStyle w:val="Heading1"/>
        <w:spacing w:after="160" w:before="360"/>
      </w:pPr>
      <w:r>
        <w:rPr>
          <w:b/>
          <w:bCs/>
          <w:color w:val="1F2937"/>
          <w:sz w:val="30"/>
          <w:szCs w:val="30"/>
        </w:rPr>
        <w:t xml:space="preserve">9. Change Log</w:t>
      </w:r>
    </w:p>
    <w:p>
      <w:pPr>
        <w:spacing w:after="160" w:line="300"/>
      </w:pPr>
      <w:r>
        <w:rPr>
          <w:color w:val="1F2937"/>
          <w:sz w:val="21"/>
          <w:szCs w:val="21"/>
        </w:rPr>
        <w:t xml:space="preserve">All changes are committed to the repository’s main branch (not yet pushed to the remote — held for your review) across 4 commits, touching 31 files in the backend. Every commit message documents the specific reasoning for that change. No changes were made to the frontend or database schema.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Page </w:t>
    </w:r>
    <w:r>
      <w:rPr>
        <w:color w:val="475569"/>
        <w:sz w:val="16"/>
        <w:szCs w:val="16"/>
      </w:rPr>
      <w:fldChar w:fldCharType="begin"/>
      <w:instrText xml:space="preserve">PAGE</w:instrText>
      <w:fldChar w:fldCharType="separate"/>
      <w:fldChar w:fldCharType="end"/>
    </w:r>
    <w:r>
      <w:rPr>
        <w:color w:val="475569"/>
        <w:sz w:val="16"/>
        <w:szCs w:val="16"/>
      </w:rPr>
      <w:t xml:space="preserve"> of </w:t>
    </w:r>
    <w:r>
      <w:rPr>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spacing w:after="100"/>
    </w:pPr>
    <w:r>
      <w:rPr>
        <w:color w:val="475569"/>
        <w:sz w:val="16"/>
        <w:szCs w:val="16"/>
      </w:rPr>
      <w:t xml:space="preserve">Lead Management CRM — Production Readiness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2026-07-28T05:10:44.447Z</dcterms:created>
  <dcterms:modified xsi:type="dcterms:W3CDTF">2026-07-28T05:10:44.447Z</dcterms:modified>
</cp:coreProperties>
</file>

<file path=docProps/custom.xml><?xml version="1.0" encoding="utf-8"?>
<Properties xmlns="http://schemas.openxmlformats.org/officeDocument/2006/custom-properties" xmlns:vt="http://schemas.openxmlformats.org/officeDocument/2006/docPropsVTypes"/>
</file>