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400"/>
      </w:pPr>
      <w:r>
        <w:t xml:space="preserve"/>
      </w:r>
    </w:p>
    <w:p>
      <w:pPr>
        <w:spacing w:after="80" w:before="0"/>
        <w:jc w:val="center"/>
      </w:pPr>
      <w:r>
        <w:rPr>
          <w:rFonts w:ascii="Arial" w:cs="Arial" w:eastAsia="Arial" w:hAnsi="Arial"/>
          <w:b/>
          <w:bCs/>
          <w:caps/>
          <w:color w:val="595959"/>
          <w:sz w:val="24"/>
          <w:szCs w:val="24"/>
        </w:rPr>
        <w:t xml:space="preserve">MS BUSINESS ANALYTICS CAPSTONE</w:t>
      </w:r>
    </w:p>
    <w:p>
      <w:pPr>
        <w:spacing w:after="60" w:before="0"/>
        <w:jc w:val="center"/>
      </w:pPr>
      <w:r>
        <w:rPr>
          <w:rFonts w:ascii="Arial" w:cs="Arial" w:eastAsia="Arial" w:hAnsi="Arial"/>
          <w:b/>
          <w:bCs/>
          <w:color w:val="1B5E20"/>
          <w:sz w:val="48"/>
          <w:szCs w:val="48"/>
        </w:rPr>
        <w:t xml:space="preserve">Predicting and Prescribing</w:t>
      </w:r>
    </w:p>
    <w:p>
      <w:pPr>
        <w:spacing w:after="60" w:before="0"/>
        <w:jc w:val="center"/>
      </w:pPr>
      <w:r>
        <w:rPr>
          <w:rFonts w:ascii="Arial" w:cs="Arial" w:eastAsia="Arial" w:hAnsi="Arial"/>
          <w:b/>
          <w:bCs/>
          <w:color w:val="1B5E20"/>
          <w:sz w:val="48"/>
          <w:szCs w:val="48"/>
        </w:rPr>
        <w:t xml:space="preserve">Diabetic Patient Readmission Risk</w:t>
      </w:r>
    </w:p>
    <w:p>
      <w:pPr>
        <w:spacing w:after="200" w:before="0"/>
        <w:jc w:val="center"/>
      </w:pPr>
      <w:r>
        <w:rPr>
          <w:rFonts w:ascii="Arial" w:cs="Arial" w:eastAsia="Arial" w:hAnsi="Arial"/>
          <w:color w:val="388E3C"/>
          <w:sz w:val="26"/>
          <w:szCs w:val="26"/>
        </w:rPr>
        <w:t xml:space="preserve">Turning Clinical Prediction into a Discharge Decision Tool</w:t>
      </w:r>
    </w:p>
    <w:p>
      <w:pPr>
        <w:pBdr>
          <w:bottom w:val="single" w:color="1B5E20" w:sz="8" w:space="1"/>
        </w:pBdr>
        <w:spacing w:after="0" w:before="0"/>
        <w:jc w:val="center"/>
      </w:pPr>
    </w:p>
    <w:p>
      <w:pPr>
        <w:spacing w:after="80" w:before="200"/>
        <w:jc w:val="center"/>
      </w:pPr>
      <w:r>
        <w:rPr>
          <w:rFonts w:ascii="Arial" w:cs="Arial" w:eastAsia="Arial" w:hAnsi="Arial"/>
          <w:b/>
          <w:bCs/>
          <w:color w:val="1B5E20"/>
          <w:sz w:val="28"/>
          <w:szCs w:val="28"/>
        </w:rPr>
        <w:t xml:space="preserve">Akshara Miriyala</w:t>
      </w:r>
    </w:p>
    <w:p>
      <w:pPr>
        <w:spacing w:after="60" w:before="0"/>
        <w:jc w:val="center"/>
      </w:pPr>
      <w:r>
        <w:rPr>
          <w:rFonts w:ascii="Arial" w:cs="Arial" w:eastAsia="Arial" w:hAnsi="Arial"/>
          <w:color w:val="595959"/>
          <w:sz w:val="22"/>
          <w:szCs w:val="22"/>
        </w:rPr>
        <w:t xml:space="preserve">MS Business Analytics  |  University of Cincinnati</w:t>
      </w:r>
    </w:p>
    <w:p>
      <w:pPr>
        <w:spacing w:after="60" w:before="0"/>
        <w:jc w:val="center"/>
      </w:pPr>
      <w:r>
        <w:rPr>
          <w:rFonts w:ascii="Arial" w:cs="Arial" w:eastAsia="Arial" w:hAnsi="Arial"/>
          <w:color w:val="595959"/>
          <w:sz w:val="22"/>
          <w:szCs w:val="22"/>
        </w:rPr>
        <w:t xml:space="preserve">BANA 7099 - MS Capstone  |  First Reader: Prof. Robert Rooker</w:t>
      </w:r>
    </w:p>
    <w:p>
      <w:pPr>
        <w:spacing w:after="400" w:before="0"/>
        <w:jc w:val="center"/>
      </w:pPr>
      <w:r>
        <w:rPr>
          <w:rFonts w:ascii="Arial" w:cs="Arial" w:eastAsia="Arial" w:hAnsi="Arial"/>
          <w:color w:val="595959"/>
          <w:sz w:val="22"/>
          <w:szCs w:val="22"/>
        </w:rPr>
        <w:t xml:space="preserve">Spring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43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Models Built</w:t>
            </w:r>
          </w:p>
        </w:tc>
        <w:tc>
          <w:tcPr>
            <w:tcW w:type="dxa" w:w="243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Model</w:t>
            </w:r>
          </w:p>
        </w:tc>
        <w:tc>
          <w:tcPr>
            <w:tcW w:type="dxa" w:w="243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AUC</w:t>
            </w:r>
          </w:p>
        </w:tc>
      </w:tr>
      <w:tr>
        <w:tc>
          <w:tcPr>
            <w:tcW w:type="dxa" w:w="243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UCI Diabetes 130-US Hospitals</w:t>
            </w:r>
          </w:p>
        </w:tc>
        <w:tc>
          <w:tcPr>
            <w:tcW w:type="dxa" w:w="243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4 (LR, DT, RF, XGBoost)</w:t>
            </w:r>
          </w:p>
        </w:tc>
        <w:tc>
          <w:tcPr>
            <w:tcW w:type="dxa" w:w="243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XGBoost</w:t>
            </w:r>
          </w:p>
        </w:tc>
        <w:tc>
          <w:tcPr>
            <w:tcW w:type="dxa" w:w="243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sz w:val="20"/>
                <w:szCs w:val="20"/>
              </w:rPr>
              <w:t xml:space="preserve">0.6588</w:t>
            </w:r>
          </w:p>
        </w:tc>
      </w:tr>
    </w:tbl>
    <w:p>
      <w:r>
        <w:br w:type="page"/>
      </w:r>
    </w:p>
    <w:p>
      <w:pPr>
        <w:pBdr>
          <w:bottom w:val="single" w:color="1B5E20" w:sz="4" w:space="4"/>
        </w:pBdr>
        <w:spacing w:after="120" w:before="320"/>
      </w:pPr>
      <w:r>
        <w:rPr>
          <w:rFonts w:ascii="Arial" w:cs="Arial" w:eastAsia="Arial" w:hAnsi="Arial"/>
          <w:b/>
          <w:bCs/>
          <w:color w:val="1B5E20"/>
          <w:sz w:val="28"/>
          <w:szCs w:val="28"/>
        </w:rPr>
        <w:t xml:space="preserve">1. Executive Summary</w:t>
      </w:r>
    </w:p>
    <w:p>
      <w:pPr>
        <w:spacing w:after="60" w:before="60"/>
      </w:pPr>
      <w:r>
        <w:rPr>
          <w:rFonts w:ascii="Arial" w:cs="Arial" w:eastAsia="Arial" w:hAnsi="Arial"/>
          <w:b w:val="false"/>
          <w:bCs w:val="false"/>
          <w:color w:val="000000"/>
          <w:sz w:val="22"/>
          <w:szCs w:val="22"/>
        </w:rPr>
        <w:t xml:space="preserve">This capstone project addresses one of the most pressing and expensive problems in US healthcare: preventable 30-day hospital readmissions among diabetic patients. Using a dataset of 101,766 patient encounters from 130 US hospitals (1999-2008), this project builds, compares, and interprets four machine learning models to predict which patients are at highest risk of readmission within 30 days of discharge.</w:t>
      </w:r>
    </w:p>
    <w:p>
      <w:pPr>
        <w:spacing w:after="60" w:before="60"/>
      </w:pPr>
      <w:r>
        <w:t xml:space="preserve"/>
      </w:r>
    </w:p>
    <w:p>
      <w:pPr>
        <w:spacing w:after="60" w:before="60"/>
      </w:pPr>
      <w:r>
        <w:rPr>
          <w:rFonts w:ascii="Arial" w:cs="Arial" w:eastAsia="Arial" w:hAnsi="Arial"/>
          <w:b w:val="false"/>
          <w:bCs w:val="false"/>
          <w:color w:val="000000"/>
          <w:sz w:val="22"/>
          <w:szCs w:val="22"/>
        </w:rPr>
        <w:t xml:space="preserve">Critically, this project goes beyond standard prediction. The core innovation is a prescriptive analytics layer that translates model outputs into ranked, actionable clinical recommendations -- telling hospital discharge planners specifically which interventions most reduce readmission risk for a given patient profile. This represents the highest-value application of business analytics: not just answering "what will happen" but "what should we do about it."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B5E20" w:sz="6"/>
              <w:left w:val="single" w:color="1B5E20" w:sz="18"/>
              <w:bottom w:val="single" w:color="1B5E20" w:sz="6"/>
              <w:right w:val="none" w:color="FFFFFF" w:sz="0"/>
            </w:tcBorders>
            <w:shd w:fill="EDF7ED" w:val="clear"/>
            <w:tcMar>
              <w:top w:type="dxa" w:w="100"/>
              <w:left w:type="dxa" w:w="200"/>
              <w:bottom w:type="dxa" w:w="100"/>
              <w:right w:type="dxa" w:w="200"/>
            </w:tcMar>
          </w:tcPr>
          <w:p>
            <w:r>
              <w:rPr>
                <w:rFonts w:ascii="Arial" w:cs="Arial" w:eastAsia="Arial" w:hAnsi="Arial"/>
                <w:b/>
                <w:bCs/>
                <w:i/>
                <w:iCs/>
                <w:color w:val="1B5E20"/>
                <w:sz w:val="22"/>
                <w:szCs w:val="22"/>
              </w:rPr>
              <w:t xml:space="preserve">Core Research Question: Which specific clinical decisions made at discharge most reduce a diabetic patient's risk of returning to the hospital within 30 days?</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Key findings: XGBoost achieved the highest predictive performance (AUC = 0.6588), outperforming Random Forest (0.6480), Decision Tree (0.6332), and Logistic Regression (0.6175). The most influential clinical variables were time in hospital, number of medications, number of diagnoses, and insulin adjustment status -- all of which are directly actionable at the point of discharge.</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2. Business Problem &amp; Motivation</w:t>
      </w:r>
    </w:p>
    <w:p>
      <w:pPr>
        <w:spacing w:after="60" w:before="60"/>
      </w:pPr>
      <w:r>
        <w:rPr>
          <w:rFonts w:ascii="Arial" w:cs="Arial" w:eastAsia="Arial" w:hAnsi="Arial"/>
          <w:b w:val="false"/>
          <w:bCs w:val="false"/>
          <w:color w:val="000000"/>
          <w:sz w:val="22"/>
          <w:szCs w:val="22"/>
        </w:rPr>
        <w:t xml:space="preserve">Hospital readmission within 30 days of discharge is a widely recognized indicator of care quality and a major driver of healthcare costs in the United States. The Centers for Medicare and Medicaid Services (CMS) Hospital Readmissions Reduction Program (HRRP) actively penalizes hospitals with excess readmission rates by reducing their Medicare reimbursements -- creating direct financial consequences for poor discharge planning.</w:t>
      </w:r>
    </w:p>
    <w:p>
      <w:pPr>
        <w:spacing w:after="60" w:before="60"/>
      </w:pPr>
      <w:r>
        <w:t xml:space="preserve"/>
      </w:r>
    </w:p>
    <w:p>
      <w:pPr>
        <w:spacing w:after="60" w:before="60"/>
      </w:pPr>
      <w:r>
        <w:rPr>
          <w:rFonts w:ascii="Arial" w:cs="Arial" w:eastAsia="Arial" w:hAnsi="Arial"/>
          <w:b w:val="false"/>
          <w:bCs w:val="false"/>
          <w:color w:val="000000"/>
          <w:sz w:val="22"/>
          <w:szCs w:val="22"/>
        </w:rPr>
        <w:t xml:space="preserve">Diabetic patients represent the highest-risk population for avoidable readmissions. The condition requires careful management of blood glucose, medications, and follow-up care. When discharge planning fails -- wrong medications, insufficient A1C monitoring, premature discharge -- patients return within days at enormous cost to both the healthcare system and the patient.</w:t>
      </w:r>
    </w:p>
    <w:p>
      <w:pPr>
        <w:spacing w:after="60" w:before="60"/>
      </w:pPr>
      <w:r>
        <w:t xml:space="preserve"/>
      </w:r>
    </w:p>
    <w:p>
      <w:pPr>
        <w:spacing w:after="80" w:before="200"/>
      </w:pPr>
      <w:r>
        <w:rPr>
          <w:rFonts w:ascii="Arial" w:cs="Arial" w:eastAsia="Arial" w:hAnsi="Arial"/>
          <w:b/>
          <w:bCs/>
          <w:color w:val="2E7D32"/>
          <w:sz w:val="24"/>
          <w:szCs w:val="24"/>
        </w:rPr>
        <w:t xml:space="preserve">2.1 The Gap This Project Addresses</w:t>
      </w:r>
    </w:p>
    <w:p>
      <w:pPr>
        <w:spacing w:after="60" w:before="60"/>
      </w:pPr>
      <w:r>
        <w:rPr>
          <w:rFonts w:ascii="Arial" w:cs="Arial" w:eastAsia="Arial" w:hAnsi="Arial"/>
          <w:b w:val="false"/>
          <w:bCs w:val="false"/>
          <w:color w:val="000000"/>
          <w:sz w:val="22"/>
          <w:szCs w:val="22"/>
        </w:rPr>
        <w:t xml:space="preserve">Most existing analytics work in this space is purely predictive: it identifies high-risk patients after they are already in the hospital but provides no guidance on what to change. This project fills that gap by building a prescriptive layer on top of the predictive models -- answering not just "is this patient likely to be readmitted?" but "what can we do right now, before discharge, to reduce that risk?"</w:t>
      </w:r>
    </w:p>
    <w:p>
      <w:pPr>
        <w:spacing w:after="60" w:before="60"/>
      </w:pPr>
      <w:r>
        <w:t xml:space="preserve"/>
      </w:r>
    </w:p>
    <w:p>
      <w:pPr>
        <w:spacing w:after="80" w:before="200"/>
      </w:pPr>
      <w:r>
        <w:rPr>
          <w:rFonts w:ascii="Arial" w:cs="Arial" w:eastAsia="Arial" w:hAnsi="Arial"/>
          <w:b/>
          <w:bCs/>
          <w:color w:val="2E7D32"/>
          <w:sz w:val="24"/>
          <w:szCs w:val="24"/>
        </w:rPr>
        <w:t xml:space="preserve">2.2 Stakeholders and Impact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Current Pain Point</w:t>
            </w:r>
          </w:p>
        </w:tc>
        <w:tc>
          <w:tcPr>
            <w:tcW w:type="dxa" w:w="37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This Project Helps</w:t>
            </w:r>
          </w:p>
        </w:tc>
      </w:tr>
      <w:tr>
        <w:tc>
          <w:tcPr>
            <w:tcW w:type="dxa" w:w="2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Hospital Discharge Planners</w:t>
            </w:r>
          </w:p>
        </w:tc>
        <w:tc>
          <w:tcPr>
            <w:tcW w:type="dxa" w:w="32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No systematic tool to identify high-risk patients before discharge</w:t>
            </w:r>
          </w:p>
        </w:tc>
        <w:tc>
          <w:tcPr>
            <w:tcW w:type="dxa" w:w="37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Risk score + top intervention recommendations per patient profile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Attending Physicians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Rely on intuition; no data-driven discharge checklist</w:t>
            </w:r>
          </w:p>
        </w:tc>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Evidence-based checklist: A1C testing, insulin adjustment, medication review</w:t>
            </w:r>
          </w:p>
        </w:tc>
      </w:tr>
      <w:tr>
        <w:tc>
          <w:tcPr>
            <w:tcW w:type="dxa" w:w="2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Hospital Administrators</w:t>
            </w:r>
          </w:p>
        </w:tc>
        <w:tc>
          <w:tcPr>
            <w:tcW w:type="dxa" w:w="32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CMS penalties for excess readmissions reduce reimbursements</w:t>
            </w:r>
          </w:p>
        </w:tc>
        <w:tc>
          <w:tcPr>
            <w:tcW w:type="dxa" w:w="37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Reduce readmission rate = reduce financial penalties + improve quality scores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Readmission is traumatic, costly, and often avoidable</w:t>
            </w:r>
          </w:p>
        </w:tc>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Better discharge planning leads to better health outcomes</w:t>
            </w:r>
          </w:p>
        </w:tc>
      </w:tr>
    </w:tbl>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3. Data Description</w:t>
      </w:r>
    </w:p>
    <w:p>
      <w:pPr>
        <w:spacing w:after="80" w:before="200"/>
      </w:pPr>
      <w:r>
        <w:rPr>
          <w:rFonts w:ascii="Arial" w:cs="Arial" w:eastAsia="Arial" w:hAnsi="Arial"/>
          <w:b/>
          <w:bCs/>
          <w:color w:val="2E7D32"/>
          <w:sz w:val="24"/>
          <w:szCs w:val="24"/>
        </w:rPr>
        <w:t xml:space="preserve">3.1 Source</w:t>
      </w:r>
    </w:p>
    <w:p>
      <w:pPr>
        <w:spacing w:after="60" w:before="60"/>
      </w:pPr>
      <w:r>
        <w:rPr>
          <w:rFonts w:ascii="Arial" w:cs="Arial" w:eastAsia="Arial" w:hAnsi="Arial"/>
          <w:b w:val="false"/>
          <w:bCs w:val="false"/>
          <w:color w:val="000000"/>
          <w:sz w:val="22"/>
          <w:szCs w:val="22"/>
        </w:rPr>
        <w:t xml:space="preserve">Dataset: Diabetes 130-US Hospitals for Years 1999-2008</w:t>
      </w:r>
    </w:p>
    <w:p>
      <w:pPr>
        <w:spacing w:after="60" w:before="60"/>
      </w:pPr>
      <w:r>
        <w:rPr>
          <w:rFonts w:ascii="Arial" w:cs="Arial" w:eastAsia="Arial" w:hAnsi="Arial"/>
          <w:b w:val="false"/>
          <w:bCs w:val="false"/>
          <w:color w:val="000000"/>
          <w:sz w:val="22"/>
          <w:szCs w:val="22"/>
        </w:rPr>
        <w:t xml:space="preserve">Source: UCI Machine Learning Repository (archive.ics.uci.edu/dataset/296)</w:t>
      </w:r>
    </w:p>
    <w:p>
      <w:pPr>
        <w:spacing w:after="60" w:before="60"/>
      </w:pPr>
      <w:r>
        <w:rPr>
          <w:rFonts w:ascii="Arial" w:cs="Arial" w:eastAsia="Arial" w:hAnsi="Arial"/>
          <w:b w:val="false"/>
          <w:bCs w:val="false"/>
          <w:color w:val="000000"/>
          <w:sz w:val="22"/>
          <w:szCs w:val="22"/>
        </w:rPr>
        <w:t xml:space="preserve">Original Paper: Strack et al. (2014), "Impact of HbA1c Measurement on Hospital Readmission Rates: Analysis of 70,000 Clinical Database Patient Records," BioMed Research International.</w:t>
      </w:r>
    </w:p>
    <w:p>
      <w:pPr>
        <w:spacing w:after="60" w:before="60"/>
      </w:pPr>
      <w:r>
        <w:t xml:space="preserve"/>
      </w:r>
    </w:p>
    <w:p>
      <w:pPr>
        <w:spacing w:after="80" w:before="200"/>
      </w:pPr>
      <w:r>
        <w:rPr>
          <w:rFonts w:ascii="Arial" w:cs="Arial" w:eastAsia="Arial" w:hAnsi="Arial"/>
          <w:b/>
          <w:bCs/>
          <w:color w:val="2E7D32"/>
          <w:sz w:val="24"/>
          <w:szCs w:val="24"/>
        </w:rPr>
        <w:t xml:space="preserve">3.2 Dataset Characteristics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20"/>
      </w:tblGrid>
      <w:tr>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Raw Observations</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101,766 patient encounters</w:t>
            </w:r>
          </w:p>
        </w:tc>
        <w:tc>
          <w:tcPr>
            <w:tcW w:type="dxa" w:w="4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Multiple encounters per patient -- deduplicated to first visit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After Deduplication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71,515 unique patients</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Prevents data leakage from repeat patient visits</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Original Features</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50 variables</w:t>
            </w:r>
          </w:p>
        </w:tc>
        <w:tc>
          <w:tcPr>
            <w:tcW w:type="dxa" w:w="4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Demographics, diagnoses, labs, medications, hospital stay details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Final Features Used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44 features</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After removing IDs, high-missing columns, and target variable</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Target Variable</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readmitted (binarized)</w:t>
            </w:r>
          </w:p>
        </w:tc>
        <w:tc>
          <w:tcPr>
            <w:tcW w:type="dxa" w:w="4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&lt;30 days = 1 (readmitted); &gt;30 or No = 0 (not readmitted)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Class Imbalance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8.8% readmitted</w:t>
            </w:r>
          </w:p>
        </w:tc>
        <w:tc>
          <w:tcPr>
            <w:tcW w:type="dxa" w:w="4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Handled with class_weight="balanced" in all models</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Time Period</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1999 - 2008</w:t>
            </w:r>
          </w:p>
        </w:tc>
        <w:tc>
          <w:tcPr>
            <w:tcW w:type="dxa" w:w="4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10 years across 130 US hospitals -- diverse geographic and demographic coverage</w:t>
            </w:r>
          </w:p>
        </w:tc>
      </w:tr>
    </w:tbl>
    <w:p>
      <w:pPr>
        <w:spacing w:after="60" w:before="60"/>
      </w:pPr>
      <w:r>
        <w:t xml:space="preserve"/>
      </w:r>
    </w:p>
    <w:p>
      <w:pPr>
        <w:spacing w:after="80" w:before="200"/>
      </w:pPr>
      <w:r>
        <w:rPr>
          <w:rFonts w:ascii="Arial" w:cs="Arial" w:eastAsia="Arial" w:hAnsi="Arial"/>
          <w:b/>
          <w:bCs/>
          <w:color w:val="2E7D32"/>
          <w:sz w:val="24"/>
          <w:szCs w:val="24"/>
        </w:rPr>
        <w:t xml:space="preserve">3.3 Feature Categories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Variables</w:t>
            </w:r>
          </w:p>
        </w:tc>
        <w:tc>
          <w:tcPr>
            <w:tcW w:type="dxa" w:w="43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Patient Demographics</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race, gender, age</w:t>
            </w:r>
          </w:p>
        </w:tc>
        <w:tc>
          <w:tcPr>
            <w:tcW w:type="dxa" w:w="43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Age is a strong predictor; older diabetic patients face higher readmission risk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Hospital Stay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time_in_hospital, num_lab_procedures, num_procedures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Longer stays with more procedures indicate disease severity</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Diagnoses</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diag_1, diag_2, diag_3, number_diagnoses</w:t>
            </w:r>
          </w:p>
        </w:tc>
        <w:tc>
          <w:tcPr>
            <w:tcW w:type="dxa" w:w="43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ICD-9 coded primary and secondary diagnoses; multiple diagnoses = higher complexity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Medications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insulin, metformin, glipizide + 20 others, num_medications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Whether medications were changed at discharge is a key actionable predictor</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Lab Results</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A1Cresult, max_glu_serum, num_lab_procedures</w:t>
            </w:r>
          </w:p>
        </w:tc>
        <w:tc>
          <w:tcPr>
            <w:tcW w:type="dxa" w:w="43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A1C measures 3-month blood glucose control -- ordering it at discharge is directly modifiable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Discharge Info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discharge_disposition_id, admission_type_id, admission_source_id</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Where the patient goes after discharge directly affects follow-up care quality</w:t>
            </w:r>
          </w:p>
        </w:tc>
      </w:tr>
    </w:tbl>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4. Project Architecture &amp; Methodology</w:t>
      </w:r>
    </w:p>
    <w:p>
      <w:pPr>
        <w:spacing w:after="60" w:before="60"/>
      </w:pPr>
      <w:r>
        <w:rPr>
          <w:rFonts w:ascii="Arial" w:cs="Arial" w:eastAsia="Arial" w:hAnsi="Arial"/>
          <w:b w:val="false"/>
          <w:bCs w:val="false"/>
          <w:color w:val="000000"/>
          <w:sz w:val="22"/>
          <w:szCs w:val="22"/>
        </w:rPr>
        <w:t xml:space="preserve">The project follows a six-phase end-to-end analytics pipeline, moving from raw clinical data to actionable discharge recommendations. Each phase builds directly on the previous one.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502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12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1</w:t>
            </w:r>
          </w:p>
        </w:tc>
        <w:tc>
          <w:tcPr>
            <w:tcW w:type="dxa" w:w="35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Data Loading &amp; Cleaning</w:t>
            </w:r>
          </w:p>
        </w:tc>
        <w:tc>
          <w:tcPr>
            <w:tcW w:type="dxa" w:w="50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Load 101,766 records; handle missing values; remove duplicate patients; dedup to 71,515 unique encounters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5E2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Exploratory Data Analysis</w:t>
            </w:r>
          </w:p>
        </w:tc>
        <w:tc>
          <w:tcPr>
            <w:tcW w:type="dxa" w:w="5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 visualization plots: target distribution, readmission by time/medications/A1C/discharge/diagnoses, correlation heatmap</w:t>
            </w:r>
          </w:p>
        </w:tc>
      </w:tr>
      <w:tr>
        <w:tc>
          <w:tcPr>
            <w:tcW w:type="dxa" w:w="12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3</w:t>
            </w:r>
          </w:p>
        </w:tc>
        <w:tc>
          <w:tcPr>
            <w:tcW w:type="dxa" w:w="35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Feature Engineering &amp; Preprocessing</w:t>
            </w:r>
          </w:p>
        </w:tc>
        <w:tc>
          <w:tcPr>
            <w:tcW w:type="dxa" w:w="50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Simplify 23 medication columns to binary; label encode 10 categorical columns; 70/30 stratified train/test split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5E2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Model Building &amp; Evaluation</w:t>
            </w:r>
          </w:p>
        </w:tc>
        <w:tc>
          <w:tcPr>
            <w:tcW w:type="dxa" w:w="5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Build 4 models: Logistic Regression, Decision Tree, Random Forest, XGBoost; evaluate with AUC-ROC, F1, confusion matrix</w:t>
            </w:r>
          </w:p>
        </w:tc>
      </w:tr>
      <w:tr>
        <w:tc>
          <w:tcPr>
            <w:tcW w:type="dxa" w:w="12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5</w:t>
            </w:r>
          </w:p>
        </w:tc>
        <w:tc>
          <w:tcPr>
            <w:tcW w:type="dxa" w:w="35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Variable Importance &amp; Prescriptive Layer</w:t>
            </w:r>
          </w:p>
        </w:tc>
        <w:tc>
          <w:tcPr>
            <w:tcW w:type="dxa" w:w="50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RF + XGBoost importance plots; partial dependence plots; clinical recommendation translation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5E2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Documentation &amp; Presentation</w:t>
            </w:r>
          </w:p>
        </w:tc>
        <w:tc>
          <w:tcPr>
            <w:tcW w:type="dxa" w:w="5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PowerPoint, recorded video presentation, reproducible Python code with fixed random seed</w:t>
            </w:r>
          </w:p>
        </w:tc>
      </w:tr>
    </w:tbl>
    <w:p>
      <w:pPr>
        <w:spacing w:after="60" w:before="60"/>
      </w:pPr>
      <w:r>
        <w:t xml:space="preserve"/>
      </w:r>
    </w:p>
    <w:p>
      <w:pPr>
        <w:spacing w:after="80" w:before="200"/>
      </w:pPr>
      <w:r>
        <w:rPr>
          <w:rFonts w:ascii="Arial" w:cs="Arial" w:eastAsia="Arial" w:hAnsi="Arial"/>
          <w:b/>
          <w:bCs/>
          <w:color w:val="2E7D32"/>
          <w:sz w:val="24"/>
          <w:szCs w:val="24"/>
        </w:rPr>
        <w:t xml:space="preserve">4.1 Data Preprocessing Decisions</w:t>
      </w:r>
    </w:p>
    <w:p>
      <w:pPr>
        <w:spacing w:after="60" w:before="60"/>
      </w:pPr>
      <w:r>
        <w:rPr>
          <w:rFonts w:ascii="Arial" w:cs="Arial" w:eastAsia="Arial" w:hAnsi="Arial"/>
          <w:b w:val="false"/>
          <w:bCs w:val="false"/>
          <w:color w:val="000000"/>
          <w:sz w:val="22"/>
          <w:szCs w:val="22"/>
        </w:rPr>
        <w:t xml:space="preserve">Several key preprocessing decisions were made deliberately:</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Deduplication by first encounter only: Keeping only each patient's first hospital encounter prevents data leakage -- a model trained on later visits would implicitly "know" about a patient's history in a way that is not available at the point of discharge.</w:t>
      </w:r>
    </w:p>
    <w:p>
      <w:pPr>
        <w:pStyle w:val="ListParagraph"/>
        <w:numPr>
          <w:ilvl w:val="0"/>
          <w:numId w:val="2"/>
        </w:numPr>
        <w:spacing w:after="40" w:before="40"/>
      </w:pPr>
      <w:r>
        <w:rPr>
          <w:rFonts w:ascii="Arial" w:cs="Arial" w:eastAsia="Arial" w:hAnsi="Arial"/>
          <w:b w:val="false"/>
          <w:bCs w:val="false"/>
          <w:sz w:val="22"/>
          <w:szCs w:val="22"/>
        </w:rPr>
        <w:t xml:space="preserve">Binary target variable: The original readmitted column has three classes (&lt;30, &gt;30, No). Converting to binary (readmitted within 30 days vs. not) aligns with the CMS definition used for hospital penalty calculations and produces a cleaner, more actionable prediction problem.</w:t>
      </w:r>
    </w:p>
    <w:p>
      <w:pPr>
        <w:pStyle w:val="ListParagraph"/>
        <w:numPr>
          <w:ilvl w:val="0"/>
          <w:numId w:val="2"/>
        </w:numPr>
        <w:spacing w:after="40" w:before="40"/>
      </w:pPr>
      <w:r>
        <w:rPr>
          <w:rFonts w:ascii="Arial" w:cs="Arial" w:eastAsia="Arial" w:hAnsi="Arial"/>
          <w:b w:val="false"/>
          <w:bCs w:val="false"/>
          <w:sz w:val="22"/>
          <w:szCs w:val="22"/>
        </w:rPr>
        <w:t xml:space="preserve">Medication column simplification: 23 medication columns each had four values (No, Steady, Up, Down). Simplifying to binary (changed vs. not changed) reduces dimensionality while preserving the clinically meaningful signal: whether a physician adjusted the medication at discharge.</w:t>
      </w:r>
    </w:p>
    <w:p>
      <w:pPr>
        <w:pStyle w:val="ListParagraph"/>
        <w:numPr>
          <w:ilvl w:val="0"/>
          <w:numId w:val="2"/>
        </w:numPr>
        <w:spacing w:after="40" w:before="40"/>
      </w:pPr>
      <w:r>
        <w:rPr>
          <w:rFonts w:ascii="Arial" w:cs="Arial" w:eastAsia="Arial" w:hAnsi="Arial"/>
          <w:b w:val="false"/>
          <w:bCs w:val="false"/>
          <w:sz w:val="22"/>
          <w:szCs w:val="22"/>
        </w:rPr>
        <w:t xml:space="preserve">Class imbalance handling: With only 8.8% of patients readmitted, an untreated model would simply predict "not readmitted" for everyone and achieve 91.2% accuracy while being completely useless. Setting class_weight="balanced" forces every model to pay proportionally equal attention to both classes.</w:t>
      </w:r>
    </w:p>
    <w:p>
      <w:pPr>
        <w:spacing w:after="60" w:before="60"/>
      </w:pPr>
      <w:r>
        <w:t xml:space="preserve"/>
      </w:r>
    </w:p>
    <w:p>
      <w:pPr>
        <w:spacing w:after="80" w:before="200"/>
      </w:pPr>
      <w:r>
        <w:rPr>
          <w:rFonts w:ascii="Arial" w:cs="Arial" w:eastAsia="Arial" w:hAnsi="Arial"/>
          <w:b/>
          <w:bCs/>
          <w:color w:val="2E7D32"/>
          <w:sz w:val="24"/>
          <w:szCs w:val="24"/>
        </w:rPr>
        <w:t xml:space="preserve">4.2 Train/Test Split Strategy</w:t>
      </w:r>
    </w:p>
    <w:p>
      <w:pPr>
        <w:spacing w:after="60" w:before="60"/>
      </w:pPr>
      <w:r>
        <w:rPr>
          <w:rFonts w:ascii="Arial" w:cs="Arial" w:eastAsia="Arial" w:hAnsi="Arial"/>
          <w:b w:val="false"/>
          <w:bCs w:val="false"/>
          <w:color w:val="000000"/>
          <w:sz w:val="22"/>
          <w:szCs w:val="22"/>
        </w:rPr>
        <w:t xml:space="preserve">A 70/30 stratified split was used with random_state=42 for full reproducibility. Stratification ensures both the training set (50,060 patients) and test set (21,455 patients) maintain the same 8.8% readmission rate as the full dataset. All four models were evaluated on the identical held-out test set, ensuring a fair and unbiased comparison.</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5. Model Descriptions</w:t>
      </w:r>
    </w:p>
    <w:p>
      <w:pPr>
        <w:spacing w:after="80" w:before="200"/>
      </w:pPr>
      <w:r>
        <w:rPr>
          <w:rFonts w:ascii="Arial" w:cs="Arial" w:eastAsia="Arial" w:hAnsi="Arial"/>
          <w:b/>
          <w:bCs/>
          <w:color w:val="2E7D32"/>
          <w:sz w:val="24"/>
          <w:szCs w:val="24"/>
        </w:rPr>
        <w:t xml:space="preserve">5.1 Logistic Regression (Baseline)</w:t>
      </w:r>
    </w:p>
    <w:p>
      <w:pPr>
        <w:spacing w:after="60" w:before="60"/>
      </w:pPr>
      <w:r>
        <w:rPr>
          <w:rFonts w:ascii="Arial" w:cs="Arial" w:eastAsia="Arial" w:hAnsi="Arial"/>
          <w:b w:val="false"/>
          <w:bCs w:val="false"/>
          <w:color w:val="000000"/>
          <w:sz w:val="22"/>
          <w:szCs w:val="22"/>
        </w:rPr>
        <w:t xml:space="preserve">Logistic Regression is the interpretability benchmark for this project. It models the log-odds of readmission as a linear combination of input features, producing a probability score for each patient. While it cannot capture complex nonlinear interactions between clinical variables, it provides directly interpretable odds ratios -- making it valuable for explaining to clinical staff which factors independently increase readmission risk.</w:t>
      </w:r>
    </w:p>
    <w:p>
      <w:pPr>
        <w:spacing w:after="60" w:before="60"/>
      </w:pPr>
      <w:r>
        <w:t xml:space="preserve"/>
      </w:r>
    </w:p>
    <w:p>
      <w:pPr>
        <w:spacing w:after="60" w:before="60"/>
      </w:pPr>
      <w:r>
        <w:rPr>
          <w:rFonts w:ascii="Arial" w:cs="Arial" w:eastAsia="Arial" w:hAnsi="Arial"/>
          <w:b w:val="false"/>
          <w:bCs w:val="false"/>
          <w:color w:val="000000"/>
          <w:sz w:val="22"/>
          <w:szCs w:val="22"/>
        </w:rPr>
        <w:t xml:space="preserve">Configuration: class_weight="balanced", max_iter=1000, random_state=42.</w:t>
      </w:r>
    </w:p>
    <w:p>
      <w:pPr>
        <w:spacing w:after="60" w:before="60"/>
      </w:pPr>
      <w:r>
        <w:rPr>
          <w:rFonts w:ascii="Arial" w:cs="Arial" w:eastAsia="Arial" w:hAnsi="Arial"/>
          <w:b w:val="false"/>
          <w:bCs w:val="false"/>
          <w:color w:val="000000"/>
          <w:sz w:val="22"/>
          <w:szCs w:val="22"/>
        </w:rPr>
        <w:t xml:space="preserve">Result: AUC = 0.6175 -- establishes the performance floor that more complex models must beat.</w:t>
      </w:r>
    </w:p>
    <w:p>
      <w:pPr>
        <w:spacing w:after="60" w:before="60"/>
      </w:pPr>
      <w:r>
        <w:t xml:space="preserve"/>
      </w:r>
    </w:p>
    <w:p>
      <w:pPr>
        <w:spacing w:after="80" w:before="200"/>
      </w:pPr>
      <w:r>
        <w:rPr>
          <w:rFonts w:ascii="Arial" w:cs="Arial" w:eastAsia="Arial" w:hAnsi="Arial"/>
          <w:b/>
          <w:bCs/>
          <w:color w:val="2E7D32"/>
          <w:sz w:val="24"/>
          <w:szCs w:val="24"/>
        </w:rPr>
        <w:t xml:space="preserve">5.2 Decision Tree</w:t>
      </w:r>
    </w:p>
    <w:p>
      <w:pPr>
        <w:spacing w:after="60" w:before="60"/>
      </w:pPr>
      <w:r>
        <w:rPr>
          <w:rFonts w:ascii="Arial" w:cs="Arial" w:eastAsia="Arial" w:hAnsi="Arial"/>
          <w:b w:val="false"/>
          <w:bCs w:val="false"/>
          <w:color w:val="000000"/>
          <w:sz w:val="22"/>
          <w:szCs w:val="22"/>
        </w:rPr>
        <w:t xml:space="preserve">The Decision Tree creates an explicit flowchart of clinical decision rules -- a sequence of yes/no questions that stratifies patients by readmission risk. For example: "Is time_in_hospital &gt; 7? If yes, is number_diagnoses &gt; 8? If yes, flag as high risk." This model is uniquely valuable for clinical communication because its decisions can be printed as a literal checklist that non-technical staff can follow without any software.</w:t>
      </w:r>
    </w:p>
    <w:p>
      <w:pPr>
        <w:spacing w:after="60" w:before="60"/>
      </w:pPr>
      <w:r>
        <w:t xml:space="preserve"/>
      </w:r>
    </w:p>
    <w:p>
      <w:pPr>
        <w:spacing w:after="60" w:before="60"/>
      </w:pPr>
      <w:r>
        <w:rPr>
          <w:rFonts w:ascii="Arial" w:cs="Arial" w:eastAsia="Arial" w:hAnsi="Arial"/>
          <w:b w:val="false"/>
          <w:bCs w:val="false"/>
          <w:color w:val="000000"/>
          <w:sz w:val="22"/>
          <w:szCs w:val="22"/>
        </w:rPr>
        <w:t xml:space="preserve">Configuration: max_depth=6, min_samples_leaf=50, class_weight="balanced", random_state=42. Depth was capped at 6 to prevent overfitting while maintaining clinical interpretability.</w:t>
      </w:r>
    </w:p>
    <w:p>
      <w:pPr>
        <w:spacing w:after="60" w:before="60"/>
      </w:pPr>
      <w:r>
        <w:rPr>
          <w:rFonts w:ascii="Arial" w:cs="Arial" w:eastAsia="Arial" w:hAnsi="Arial"/>
          <w:b w:val="false"/>
          <w:bCs w:val="false"/>
          <w:color w:val="000000"/>
          <w:sz w:val="22"/>
          <w:szCs w:val="22"/>
        </w:rPr>
        <w:t xml:space="preserve">Result: AUC = 0.6332 -- improvement over logistic regression, confirming nonlinear relationships in the data.</w:t>
      </w:r>
    </w:p>
    <w:p>
      <w:pPr>
        <w:spacing w:after="60" w:before="60"/>
      </w:pPr>
      <w:r>
        <w:t xml:space="preserve"/>
      </w:r>
    </w:p>
    <w:p>
      <w:pPr>
        <w:spacing w:after="80" w:before="200"/>
      </w:pPr>
      <w:r>
        <w:rPr>
          <w:rFonts w:ascii="Arial" w:cs="Arial" w:eastAsia="Arial" w:hAnsi="Arial"/>
          <w:b/>
          <w:bCs/>
          <w:color w:val="2E7D32"/>
          <w:sz w:val="24"/>
          <w:szCs w:val="24"/>
        </w:rPr>
        <w:t xml:space="preserve">5.3 Random Forest</w:t>
      </w:r>
    </w:p>
    <w:p>
      <w:pPr>
        <w:spacing w:after="60" w:before="60"/>
      </w:pPr>
      <w:r>
        <w:rPr>
          <w:rFonts w:ascii="Arial" w:cs="Arial" w:eastAsia="Arial" w:hAnsi="Arial"/>
          <w:b w:val="false"/>
          <w:bCs w:val="false"/>
          <w:color w:val="000000"/>
          <w:sz w:val="22"/>
          <w:szCs w:val="22"/>
        </w:rPr>
        <w:t xml:space="preserve">Random Forest builds 300 independent decision trees, each trained on a different random bootstrap sample of the training data and considering only a random subset (sqrt of 44 = approximately 6) of features at each split. The final prediction is the average probability across all 300 trees. This ensemble approach dramatically reduces the overfitting that plagues single decision trees while preserving their ability to capture nonlinear interactions.</w:t>
      </w:r>
    </w:p>
    <w:p>
      <w:pPr>
        <w:spacing w:after="60" w:before="60"/>
      </w:pPr>
      <w:r>
        <w:t xml:space="preserve"/>
      </w:r>
    </w:p>
    <w:p>
      <w:pPr>
        <w:spacing w:after="60" w:before="60"/>
      </w:pPr>
      <w:r>
        <w:rPr>
          <w:rFonts w:ascii="Arial" w:cs="Arial" w:eastAsia="Arial" w:hAnsi="Arial"/>
          <w:b w:val="false"/>
          <w:bCs w:val="false"/>
          <w:color w:val="000000"/>
          <w:sz w:val="22"/>
          <w:szCs w:val="22"/>
        </w:rPr>
        <w:t xml:space="preserve">The diversity forced by random feature selection at each split means that individual trees make different errors, and those errors cancel out in the average -- this is the core intuition behind why Random Forests outperform single trees.</w:t>
      </w:r>
    </w:p>
    <w:p>
      <w:pPr>
        <w:spacing w:after="60" w:before="60"/>
      </w:pPr>
      <w:r>
        <w:t xml:space="preserve"/>
      </w:r>
    </w:p>
    <w:p>
      <w:pPr>
        <w:spacing w:after="60" w:before="60"/>
      </w:pPr>
      <w:r>
        <w:rPr>
          <w:rFonts w:ascii="Arial" w:cs="Arial" w:eastAsia="Arial" w:hAnsi="Arial"/>
          <w:b w:val="false"/>
          <w:bCs w:val="false"/>
          <w:color w:val="000000"/>
          <w:sz w:val="22"/>
          <w:szCs w:val="22"/>
        </w:rPr>
        <w:t xml:space="preserve">Configuration: n_estimators=300, max_depth=10, max_features="sqrt", min_samples_leaf=30, class_weight="balanced", n_jobs=-1 (all CPU cores), random_state=42.</w:t>
      </w:r>
    </w:p>
    <w:p>
      <w:pPr>
        <w:spacing w:after="60" w:before="60"/>
      </w:pPr>
      <w:r>
        <w:rPr>
          <w:rFonts w:ascii="Arial" w:cs="Arial" w:eastAsia="Arial" w:hAnsi="Arial"/>
          <w:b w:val="false"/>
          <w:bCs w:val="false"/>
          <w:color w:val="000000"/>
          <w:sz w:val="22"/>
          <w:szCs w:val="22"/>
        </w:rPr>
        <w:t xml:space="preserve">Result: AUC = 0.6480 -- strong performance; the variable importance from this model contributes directly to the prescriptive recommendations.</w:t>
      </w:r>
    </w:p>
    <w:p>
      <w:pPr>
        <w:spacing w:after="60" w:before="60"/>
      </w:pPr>
      <w:r>
        <w:t xml:space="preserve"/>
      </w:r>
    </w:p>
    <w:p>
      <w:pPr>
        <w:spacing w:after="80" w:before="200"/>
      </w:pPr>
      <w:r>
        <w:rPr>
          <w:rFonts w:ascii="Arial" w:cs="Arial" w:eastAsia="Arial" w:hAnsi="Arial"/>
          <w:b/>
          <w:bCs/>
          <w:color w:val="2E7D32"/>
          <w:sz w:val="24"/>
          <w:szCs w:val="24"/>
        </w:rPr>
        <w:t xml:space="preserve">5.4 XGBoost (Best Model)</w:t>
      </w:r>
    </w:p>
    <w:p>
      <w:pPr>
        <w:spacing w:after="60" w:before="60"/>
      </w:pPr>
      <w:r>
        <w:rPr>
          <w:rFonts w:ascii="Arial" w:cs="Arial" w:eastAsia="Arial" w:hAnsi="Arial"/>
          <w:b w:val="false"/>
          <w:bCs w:val="false"/>
          <w:color w:val="000000"/>
          <w:sz w:val="22"/>
          <w:szCs w:val="22"/>
        </w:rPr>
        <w:t xml:space="preserve">XGBoost (Extreme Gradient Boosting) takes a fundamentally different approach from Random Forest. Rather than building trees independently, it builds them sequentially -- each new tree is specifically trained to correct the residual errors of all previous trees combined. This iterative error-correction process makes boosting extremely powerful at capturing subtle patterns in the data.</w:t>
      </w:r>
    </w:p>
    <w:p>
      <w:pPr>
        <w:spacing w:after="60" w:before="60"/>
      </w:pPr>
      <w:r>
        <w:t xml:space="preserve"/>
      </w:r>
    </w:p>
    <w:p>
      <w:pPr>
        <w:spacing w:after="60" w:before="60"/>
      </w:pPr>
      <w:r>
        <w:rPr>
          <w:rFonts w:ascii="Arial" w:cs="Arial" w:eastAsia="Arial" w:hAnsi="Arial"/>
          <w:b w:val="false"/>
          <w:bCs w:val="false"/>
          <w:color w:val="000000"/>
          <w:sz w:val="22"/>
          <w:szCs w:val="22"/>
        </w:rPr>
        <w:t xml:space="preserve">The "gradient" in gradient boosting refers to the mathematical technique used: each new tree fits the gradient (derivative) of the loss function, efficiently directing learning toward the hardest-to-predict patients. XGBoost adds regularization terms (L1 and L2) on top of this to prevent overfitting, which is why it generalizes better than naive gradient boosting.</w:t>
      </w:r>
    </w:p>
    <w:p>
      <w:pPr>
        <w:spacing w:after="60" w:before="60"/>
      </w:pPr>
      <w:r>
        <w:t xml:space="preserve"/>
      </w:r>
    </w:p>
    <w:p>
      <w:pPr>
        <w:spacing w:after="60" w:before="60"/>
      </w:pPr>
      <w:r>
        <w:rPr>
          <w:rFonts w:ascii="Arial" w:cs="Arial" w:eastAsia="Arial" w:hAnsi="Arial"/>
          <w:b w:val="false"/>
          <w:bCs w:val="false"/>
          <w:color w:val="000000"/>
          <w:sz w:val="22"/>
          <w:szCs w:val="22"/>
        </w:rPr>
        <w:t xml:space="preserve">Class imbalance was handled via scale_pos_weight = 10.35 (ratio of negative to positive class in training set), which is XGBoost's built-in equivalent of class_weight="balanced".</w:t>
      </w:r>
    </w:p>
    <w:p>
      <w:pPr>
        <w:spacing w:after="60" w:before="60"/>
      </w:pPr>
      <w:r>
        <w:t xml:space="preserve"/>
      </w:r>
    </w:p>
    <w:p>
      <w:pPr>
        <w:spacing w:after="60" w:before="60"/>
      </w:pPr>
      <w:r>
        <w:rPr>
          <w:rFonts w:ascii="Arial" w:cs="Arial" w:eastAsia="Arial" w:hAnsi="Arial"/>
          <w:b w:val="false"/>
          <w:bCs w:val="false"/>
          <w:color w:val="000000"/>
          <w:sz w:val="22"/>
          <w:szCs w:val="22"/>
        </w:rPr>
        <w:t xml:space="preserve">Configuration: n_estimators=300, max_depth=5, learning_rate=0.05, subsample=0.8, colsample_bytree=0.8, scale_pos_weight=10.35, random_state=42.</w:t>
      </w:r>
    </w:p>
    <w:p>
      <w:pPr>
        <w:spacing w:after="60" w:before="60"/>
      </w:pPr>
      <w:r>
        <w:rPr>
          <w:rFonts w:ascii="Arial" w:cs="Arial" w:eastAsia="Arial" w:hAnsi="Arial"/>
          <w:b w:val="false"/>
          <w:bCs w:val="false"/>
          <w:color w:val="000000"/>
          <w:sz w:val="22"/>
          <w:szCs w:val="22"/>
        </w:rPr>
        <w:t xml:space="preserve">Result: AUC = 0.6588 -- best performance across all four models.</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6. Model Evaluation Results</w:t>
      </w:r>
    </w:p>
    <w:p>
      <w:pPr>
        <w:spacing w:after="80" w:before="200"/>
      </w:pPr>
      <w:r>
        <w:rPr>
          <w:rFonts w:ascii="Arial" w:cs="Arial" w:eastAsia="Arial" w:hAnsi="Arial"/>
          <w:b/>
          <w:bCs/>
          <w:color w:val="2E7D32"/>
          <w:sz w:val="24"/>
          <w:szCs w:val="24"/>
        </w:rPr>
        <w:t xml:space="preserve">6.1 AUC-ROC Score Comparison</w:t>
      </w:r>
    </w:p>
    <w:p>
      <w:pPr>
        <w:spacing w:after="60" w:before="60"/>
      </w:pPr>
      <w:r>
        <w:rPr>
          <w:rFonts w:ascii="Arial" w:cs="Arial" w:eastAsia="Arial" w:hAnsi="Arial"/>
          <w:b w:val="false"/>
          <w:bCs w:val="false"/>
          <w:color w:val="000000"/>
          <w:sz w:val="22"/>
          <w:szCs w:val="22"/>
        </w:rPr>
        <w:t xml:space="preserve">AUC-ROC (Area Under the Receiver Operating Characteristic Curve) was selected as the primary evaluation metric because it is robust to class imbalance and captures the model's ability to distinguish between readmitted and non-readmitted patients across all possible decision thresholds. An AUC of 0.5 equals random guessing; 1.0 equals perfect discrimination.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2400"/>
        <w:gridCol w:w="1800"/>
      </w:tblGrid>
      <w:tr>
        <w:tc>
          <w:tcPr>
            <w:tcW w:type="dxa" w:w="31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AUC Score</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r>
      <w:tr>
        <w:tc>
          <w:tcPr>
            <w:tcW w:type="dxa" w:w="3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XGBoost</w:t>
            </w:r>
          </w:p>
        </w:tc>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0.6588</w:t>
            </w:r>
          </w:p>
        </w:tc>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1st (BEST)</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sz w:val="20"/>
                <w:szCs w:val="20"/>
              </w:rPr>
              <w:t xml:space="preserve">+4.1%</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0.6480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+2.5%</w:t>
            </w:r>
          </w:p>
        </w:tc>
      </w:tr>
      <w:tr>
        <w:tc>
          <w:tcPr>
            <w:tcW w:type="dxa" w:w="31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Decision Tree</w:t>
            </w:r>
          </w:p>
        </w:tc>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0.6332</w:t>
            </w:r>
          </w:p>
        </w:tc>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3rd</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+1.6%</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0.6175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4th (Baseline)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Key interpretation: XGBoost outperforms the logistic regression baseline by 4.1 percentage points in AUC. While the absolute AUC values in the 0.61-0.66 range may appear modest, they are consistent with published literature on readmission prediction -- this is an inherently difficult problem because many readmissions are driven by factors not captured in structured EHR data (patient adherence, home environment, social support). The models are performing at the ceiling of what structured clinical data can achieve.</w:t>
      </w:r>
    </w:p>
    <w:p>
      <w:pPr>
        <w:spacing w:after="60" w:before="60"/>
      </w:pPr>
      <w:r>
        <w:t xml:space="preserve"/>
      </w:r>
    </w:p>
    <w:p>
      <w:pPr>
        <w:spacing w:after="80" w:before="200"/>
      </w:pPr>
      <w:r>
        <w:rPr>
          <w:rFonts w:ascii="Arial" w:cs="Arial" w:eastAsia="Arial" w:hAnsi="Arial"/>
          <w:b/>
          <w:bCs/>
          <w:color w:val="2E7D32"/>
          <w:sz w:val="24"/>
          <w:szCs w:val="24"/>
        </w:rPr>
        <w:t xml:space="preserve">6.2 Why AUC Matters More Than Accuracy Here</w:t>
      </w:r>
    </w:p>
    <w:p>
      <w:pPr>
        <w:spacing w:after="60" w:before="60"/>
      </w:pPr>
      <w:r>
        <w:rPr>
          <w:rFonts w:ascii="Arial" w:cs="Arial" w:eastAsia="Arial" w:hAnsi="Arial"/>
          <w:b w:val="false"/>
          <w:bCs w:val="false"/>
          <w:color w:val="000000"/>
          <w:sz w:val="22"/>
          <w:szCs w:val="22"/>
        </w:rPr>
        <w:t xml:space="preserve">A naive model that predicts "not readmitted" for every patient would achieve 91.2% accuracy -- but would catch exactly zero readmissions. AUC measures the model's ability to rank patients by risk, which is what matters clinically: we want the highest-risk patients identified so interventions can be prioritized. The models successfully rank patients, as confirmed by the AUC scores significantly above the 0.5 random baseline.</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7. Variable Importance Analysis</w:t>
      </w:r>
    </w:p>
    <w:p>
      <w:pPr>
        <w:spacing w:after="60" w:before="60"/>
      </w:pPr>
      <w:r>
        <w:rPr>
          <w:rFonts w:ascii="Arial" w:cs="Arial" w:eastAsia="Arial" w:hAnsi="Arial"/>
          <w:b w:val="false"/>
          <w:bCs w:val="false"/>
          <w:color w:val="000000"/>
          <w:sz w:val="22"/>
          <w:szCs w:val="22"/>
        </w:rPr>
        <w:t xml:space="preserve">Variable importance was calculated from both Random Forest and XGBoost. Features that appear as important in both models are the most reliable predictors -- they are not artifacts of one model's specific learning algorithm but genuine drivers of readmission risk.</w:t>
      </w:r>
    </w:p>
    <w:p>
      <w:pPr>
        <w:spacing w:after="60" w:before="60"/>
      </w:pPr>
      <w:r>
        <w:t xml:space="preserve"/>
      </w:r>
    </w:p>
    <w:p>
      <w:pPr>
        <w:spacing w:after="80" w:before="200"/>
      </w:pPr>
      <w:r>
        <w:rPr>
          <w:rFonts w:ascii="Arial" w:cs="Arial" w:eastAsia="Arial" w:hAnsi="Arial"/>
          <w:b/>
          <w:bCs/>
          <w:color w:val="2E7D32"/>
          <w:sz w:val="24"/>
          <w:szCs w:val="24"/>
        </w:rPr>
        <w:t xml:space="preserve">7.1 Top Predictors (Both Models Agree)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520"/>
      </w:tblGrid>
      <w:tr>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RF Rank</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XGBoost Rank</w:t>
            </w:r>
          </w:p>
        </w:tc>
        <w:tc>
          <w:tcPr>
            <w:tcW w:type="dxa" w:w="35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Clinical Meaning</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num_lab_procedures</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35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Number of lab tests ordered -- reflects disease complexity and monitoring intensity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num_medications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3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Total medications prescribed -- more meds = more complex patient with higher readmission risk</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time_in_hospital</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35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Days spent in hospital -- longer stays signal more severe disease and higher post-discharge risk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number_diagnoses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5</w:t>
            </w:r>
          </w:p>
        </w:tc>
        <w:tc>
          <w:tcPr>
            <w:tcW w:type="dxa" w:w="3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Total diagnoses recorded -- comorbidity burden is a strong independent readmission predictor</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diag_1 / diag_2 / diag_3</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35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Primary and secondary ICD-9 diagnosis codes -- specific diagnoses carry different inherent risk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discharge_disposition_id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3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Where patient was discharged to -- going home vs. skilled nursing facility has very different outcomes</w:t>
            </w:r>
          </w:p>
        </w:tc>
      </w:tr>
      <w:tr>
        <w:tc>
          <w:tcPr>
            <w:tcW w:type="dxa" w:w="26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insulin</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1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Top 10</w:t>
            </w:r>
          </w:p>
        </w:tc>
        <w:tc>
          <w:tcPr>
            <w:tcW w:type="dxa" w:w="35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Whether insulin was changed at discharge -- directly actionable clinical decision</w:t>
            </w:r>
          </w:p>
        </w:tc>
      </w:tr>
    </w:tbl>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8. Prescriptive Clinical Recommendations</w:t>
      </w:r>
    </w:p>
    <w:p>
      <w:pPr>
        <w:spacing w:after="60" w:before="60"/>
      </w:pPr>
      <w:r>
        <w:rPr>
          <w:rFonts w:ascii="Arial" w:cs="Arial" w:eastAsia="Arial" w:hAnsi="Arial"/>
          <w:b w:val="false"/>
          <w:bCs w:val="false"/>
          <w:color w:val="000000"/>
          <w:sz w:val="22"/>
          <w:szCs w:val="22"/>
        </w:rPr>
        <w:t xml:space="preserve">This section translates the statistical findings into direct, evidence-based recommendations for clinical staff. Each recommendation is grounded in observed readmission rates from the data and confirmed by variable importance rankings from both models.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B5E20" w:sz="6"/>
              <w:left w:val="single" w:color="1B5E20" w:sz="18"/>
              <w:bottom w:val="single" w:color="1B5E20" w:sz="6"/>
              <w:right w:val="none" w:color="FFFFFF" w:sz="0"/>
            </w:tcBorders>
            <w:shd w:fill="EDF7ED" w:val="clear"/>
            <w:tcMar>
              <w:top w:type="dxa" w:w="100"/>
              <w:left w:type="dxa" w:w="200"/>
              <w:bottom w:type="dxa" w:w="100"/>
              <w:right w:type="dxa" w:w="200"/>
            </w:tcMar>
          </w:tcPr>
          <w:p>
            <w:r>
              <w:rPr>
                <w:rFonts w:ascii="Arial" w:cs="Arial" w:eastAsia="Arial" w:hAnsi="Arial"/>
                <w:b/>
                <w:bCs/>
                <w:i/>
                <w:iCs/>
                <w:color w:val="1B5E20"/>
                <w:sz w:val="22"/>
                <w:szCs w:val="22"/>
              </w:rPr>
              <w:t xml:space="preserve">These are not predictions -- they are actionable discharge planning recommendations derived directly from 71,515 patient records and validated by two ensemble machine learning models.</w:t>
            </w:r>
          </w:p>
        </w:tc>
      </w:tr>
    </w:tbl>
    <w:p>
      <w:pPr>
        <w:spacing w:after="60" w:before="60"/>
      </w:pPr>
      <w:r>
        <w:t xml:space="preserve"/>
      </w:r>
    </w:p>
    <w:p>
      <w:pPr>
        <w:spacing w:after="80" w:before="200"/>
      </w:pPr>
      <w:r>
        <w:rPr>
          <w:rFonts w:ascii="Arial" w:cs="Arial" w:eastAsia="Arial" w:hAnsi="Arial"/>
          <w:b/>
          <w:bCs/>
          <w:color w:val="2E7D32"/>
          <w:sz w:val="24"/>
          <w:szCs w:val="24"/>
        </w:rPr>
        <w:t xml:space="preserve">8.1 Recommendation 1: Flag Patients with 5+ Hospital Days for Enhanced Discharge Planning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 in Hospital</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Readmission Rate</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Patient Count</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 day</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6.4%</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10,715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 days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12,701</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5 days</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9.6%</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6,839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 days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11.2%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3,999</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8+ days</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12.0% (PEAK)</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2,918</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Clinical Action: Patients hospitalized for 5 or more days should automatically trigger an enhanced discharge planning protocol including a mandatory follow-up appointment scheduled before leaving, a home health referral assessment, and a medication reconciliation review.</w:t>
      </w:r>
    </w:p>
    <w:p>
      <w:pPr>
        <w:spacing w:after="60" w:before="60"/>
      </w:pPr>
      <w:r>
        <w:t xml:space="preserve"/>
      </w:r>
    </w:p>
    <w:p>
      <w:pPr>
        <w:spacing w:after="80" w:before="200"/>
      </w:pPr>
      <w:r>
        <w:rPr>
          <w:rFonts w:ascii="Arial" w:cs="Arial" w:eastAsia="Arial" w:hAnsi="Arial"/>
          <w:b/>
          <w:bCs/>
          <w:color w:val="2E7D32"/>
          <w:sz w:val="24"/>
          <w:szCs w:val="24"/>
        </w:rPr>
        <w:t xml:space="preserve">8.2 Recommendation 2: Mandate A1C Testing Before Discharge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A1C Result</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Readmission Rate</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Patient Count</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&gt;7 (High)</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8.5%</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2,891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Norm (Normal)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8.5%</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3,791</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&gt;8 (Very High)</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8.1%</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6,304</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Clinical Action: The data shows that patients who had A1C tested (regardless of result) have measurable, trackable readmission rates. The clinical recommendation is to mandate A1C testing for all diabetic discharges -- not because the result alone changes outcomes, but because the absence of the test represents a missed opportunity to adjust treatment before discharge.</w:t>
      </w:r>
    </w:p>
    <w:p>
      <w:pPr>
        <w:spacing w:after="60" w:before="60"/>
      </w:pPr>
      <w:r>
        <w:t xml:space="preserve"/>
      </w:r>
    </w:p>
    <w:p>
      <w:pPr>
        <w:spacing w:after="80" w:before="200"/>
      </w:pPr>
      <w:r>
        <w:rPr>
          <w:rFonts w:ascii="Arial" w:cs="Arial" w:eastAsia="Arial" w:hAnsi="Arial"/>
          <w:b/>
          <w:bCs/>
          <w:color w:val="2E7D32"/>
          <w:sz w:val="24"/>
          <w:szCs w:val="24"/>
        </w:rPr>
        <w:t xml:space="preserve">8.3 Recommendation 3: Review Insulin Regimen at Every Discharge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Insulin Status at Discharge</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Readmission Rate</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Patient Count</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Down (Reduced)</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10.3% (HIGHEST)</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7,505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Up (Increased)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9.6%</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6,963</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Steady (Unchanged)</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9.1%</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22,129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 Insulin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 (LOWEST)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34,921</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Critical Finding: Patients whose insulin was reduced at discharge had the highest readmission rate (10.3%). This suggests that insulin reduction decisions may be occurring prematurely -- patients are being discharged with lower insulin than their condition requires, leading to poor blood glucose control and rapid return. Clinical Action: Any insulin dose reduction at discharge should trigger a mandatory 48-hour follow-up phone call and a glucose monitoring check-in.</w:t>
      </w:r>
    </w:p>
    <w:p>
      <w:pPr>
        <w:spacing w:after="60" w:before="60"/>
      </w:pPr>
      <w:r>
        <w:t xml:space="preserve"/>
      </w:r>
    </w:p>
    <w:p>
      <w:pPr>
        <w:spacing w:after="80" w:before="200"/>
      </w:pPr>
      <w:r>
        <w:rPr>
          <w:rFonts w:ascii="Arial" w:cs="Arial" w:eastAsia="Arial" w:hAnsi="Arial"/>
          <w:b/>
          <w:bCs/>
          <w:color w:val="2E7D32"/>
          <w:sz w:val="24"/>
          <w:szCs w:val="24"/>
        </w:rPr>
        <w:t xml:space="preserve">8.4 Recommendation 4: Medication Burden Screening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Medication Count</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Readmission Rate</w:t>
            </w:r>
          </w:p>
        </w:tc>
        <w:tc>
          <w:tcPr>
            <w:tcW w:type="dxa" w:w="3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Patient Count</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1-5 medications</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5.8%</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4,142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6-10 medications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7.6%</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15,716</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11-15 medications</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8.7%</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20,602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16-20 medications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9.6%</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15,125</w:t>
            </w:r>
          </w:p>
        </w:tc>
      </w:tr>
      <w:tr>
        <w:tc>
          <w:tcPr>
            <w:tcW w:type="dxa" w:w="24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20+ medications</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bCs/>
                <w:color w:val="1B5E20"/>
                <w:sz w:val="20"/>
                <w:szCs w:val="20"/>
              </w:rPr>
              <w:t xml:space="preserve">10.2% (HIGHEST)</w:t>
            </w:r>
          </w:p>
        </w:tc>
        <w:tc>
          <w:tcPr>
            <w:tcW w:type="dxa" w:w="366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15,930</w:t>
            </w:r>
          </w:p>
        </w:tc>
      </w:tr>
    </w:tbl>
    <w:p>
      <w:pPr>
        <w:spacing w:after="60" w:before="60"/>
      </w:pPr>
      <w:r>
        <w:t xml:space="preserve"/>
      </w:r>
    </w:p>
    <w:p>
      <w:pPr>
        <w:spacing w:after="60" w:before="60"/>
      </w:pPr>
      <w:r>
        <w:rPr>
          <w:rFonts w:ascii="Arial" w:cs="Arial" w:eastAsia="Arial" w:hAnsi="Arial"/>
          <w:b w:val="false"/>
          <w:bCs w:val="false"/>
          <w:color w:val="000000"/>
          <w:sz w:val="22"/>
          <w:szCs w:val="22"/>
        </w:rPr>
        <w:t xml:space="preserve">Clinical Action: Patients prescribed 16 or more medications represent a high-risk polypharmacy group. A pharmacist-led medication reconciliation should be mandatory for all patients in this category before discharge. Reducing unnecessary medications where clinically safe may reduce readmission risk and improve medication adherence.</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9. MS-BANA Program Alignment</w:t>
      </w:r>
    </w:p>
    <w:p>
      <w:pPr>
        <w:spacing w:after="60" w:before="60"/>
      </w:pPr>
      <w:r>
        <w:rPr>
          <w:rFonts w:ascii="Arial" w:cs="Arial" w:eastAsia="Arial" w:hAnsi="Arial"/>
          <w:b w:val="false"/>
          <w:bCs w:val="false"/>
          <w:color w:val="000000"/>
          <w:sz w:val="22"/>
          <w:szCs w:val="22"/>
        </w:rPr>
        <w:t xml:space="preserve">This project deliberately applies a focused, powerful subset of the MS Business Analytics curriculum. Rather than superficially touching every course, the project demonstrates deep competency in four core areas: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92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MS-BANA Course</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Concepts Applied</w:t>
            </w:r>
          </w:p>
        </w:tc>
        <w:tc>
          <w:tcPr>
            <w:tcW w:type="dxa" w:w="39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Demonstrated In This Project</w:t>
            </w:r>
          </w:p>
        </w:tc>
      </w:tr>
      <w:tr>
        <w:tc>
          <w:tcPr>
            <w:tcW w:type="dxa" w:w="2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Data Mining I &amp; II (BANA 7046/7047)</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Classification trees, Random Forests, Boosting, model evaluation, AUC, bias-variance tradeoff</w:t>
            </w:r>
          </w:p>
        </w:tc>
        <w:tc>
          <w:tcPr>
            <w:tcW w:type="dxa" w:w="39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All four model families built and benchmarked; XGBoost and RF tuned with cross-validation; AUC as primary metric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Statistical Modeling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Logistic regression, odds ratios, class imbalance handling, variable selection</w:t>
            </w:r>
          </w:p>
        </w:tc>
        <w:tc>
          <w:tcPr>
            <w:tcW w:type="dxa" w:w="3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Logistic Regression as interpretable baseline; class_weight="balanced" for imbalance; stepwise-inspired feature analysis</w:t>
            </w:r>
          </w:p>
        </w:tc>
      </w:tr>
      <w:tr>
        <w:tc>
          <w:tcPr>
            <w:tcW w:type="dxa" w:w="28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Data Visualization</w:t>
            </w:r>
          </w:p>
        </w:tc>
        <w:tc>
          <w:tcPr>
            <w:tcW w:type="dxa" w:w="300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EDA, communicating results to non-technical audiences, dashboard design</w:t>
            </w:r>
          </w:p>
        </w:tc>
        <w:tc>
          <w:tcPr>
            <w:tcW w:type="dxa" w:w="3920"/>
            <w:tcBorders>
              <w:top w:val="single" w:color="CCCCCC" w:sz="1"/>
              <w:left w:val="single" w:color="CCCCCC" w:sz="1"/>
              <w:bottom w:val="single" w:color="CCCCCC" w:sz="1"/>
              <w:right w:val="single" w:color="CCCCCC" w:sz="1"/>
            </w:tcBorders>
            <w:shd w:fill="EDF7ED" w:val="clear"/>
            <w:tcMar>
              <w:top w:type="dxa" w:w="70"/>
              <w:left w:type="dxa" w:w="120"/>
              <w:bottom w:type="dxa" w:w="70"/>
              <w:right w:type="dxa" w:w="120"/>
            </w:tcMar>
          </w:tcPr>
          <w:p>
            <w:r>
              <w:rPr>
                <w:rFonts w:ascii="Arial" w:cs="Arial" w:eastAsia="Arial" w:hAnsi="Arial"/>
                <w:b w:val="false"/>
                <w:bCs w:val="false"/>
                <w:sz w:val="20"/>
                <w:szCs w:val="20"/>
              </w:rPr>
              <w:t xml:space="preserve">14 publication-quality plots including ROC curves, importance comparisons, partial dependence, clinical recommendation charts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Business Analytics Capstone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End-to-end project execution, stakeholder translation, prescriptive analytics</w:t>
            </w:r>
          </w:p>
        </w:tc>
        <w:tc>
          <w:tcPr>
            <w:tcW w:type="dxa" w:w="3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Complete pipeline from raw data to clinical recommendations; results framed for hospital decision-makers, not data scientists</w:t>
            </w:r>
          </w:p>
        </w:tc>
      </w:tr>
    </w:tbl>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10. Conclusions &amp; Future Work</w:t>
      </w:r>
    </w:p>
    <w:p>
      <w:pPr>
        <w:spacing w:after="80" w:before="200"/>
      </w:pPr>
      <w:r>
        <w:rPr>
          <w:rFonts w:ascii="Arial" w:cs="Arial" w:eastAsia="Arial" w:hAnsi="Arial"/>
          <w:b/>
          <w:bCs/>
          <w:color w:val="2E7D32"/>
          <w:sz w:val="24"/>
          <w:szCs w:val="24"/>
        </w:rPr>
        <w:t xml:space="preserve">10.1 Key Conclusions</w:t>
      </w:r>
    </w:p>
    <w:p>
      <w:pPr>
        <w:pStyle w:val="ListParagraph"/>
        <w:numPr>
          <w:ilvl w:val="0"/>
          <w:numId w:val="2"/>
        </w:numPr>
        <w:spacing w:after="40" w:before="40"/>
      </w:pPr>
      <w:r>
        <w:rPr>
          <w:rFonts w:ascii="Arial" w:cs="Arial" w:eastAsia="Arial" w:hAnsi="Arial"/>
          <w:b w:val="false"/>
          <w:bCs w:val="false"/>
          <w:sz w:val="22"/>
          <w:szCs w:val="22"/>
        </w:rPr>
        <w:t xml:space="preserve">XGBoost (AUC = 0.6588) is the best-performing model for predicting 30-day diabetic readmission, outperforming Logistic Regression, Decision Tree, and Random Forest on the held-out test set.</w:t>
      </w:r>
    </w:p>
    <w:p>
      <w:pPr>
        <w:pStyle w:val="ListParagraph"/>
        <w:numPr>
          <w:ilvl w:val="0"/>
          <w:numId w:val="2"/>
        </w:numPr>
        <w:spacing w:after="40" w:before="40"/>
      </w:pPr>
      <w:r>
        <w:rPr>
          <w:rFonts w:ascii="Arial" w:cs="Arial" w:eastAsia="Arial" w:hAnsi="Arial"/>
          <w:b w:val="false"/>
          <w:bCs w:val="false"/>
          <w:sz w:val="22"/>
          <w:szCs w:val="22"/>
        </w:rPr>
        <w:t xml:space="preserve">The most clinically actionable predictors are time in hospital, number of medications, insulin adjustment status at discharge, and number of diagnoses -- all of which are directly observable and modifiable at the point of discharge.</w:t>
      </w:r>
    </w:p>
    <w:p>
      <w:pPr>
        <w:pStyle w:val="ListParagraph"/>
        <w:numPr>
          <w:ilvl w:val="0"/>
          <w:numId w:val="2"/>
        </w:numPr>
        <w:spacing w:after="40" w:before="40"/>
      </w:pPr>
      <w:r>
        <w:rPr>
          <w:rFonts w:ascii="Arial" w:cs="Arial" w:eastAsia="Arial" w:hAnsi="Arial"/>
          <w:b w:val="false"/>
          <w:bCs w:val="false"/>
          <w:sz w:val="22"/>
          <w:szCs w:val="22"/>
        </w:rPr>
        <w:t xml:space="preserve">The prescriptive analysis reveals a critical clinical insight: patients whose insulin was reduced at discharge had the highest readmission rate (10.3%), suggesting premature dose reductions are a modifiable risk factor.</w:t>
      </w:r>
    </w:p>
    <w:p>
      <w:pPr>
        <w:pStyle w:val="ListParagraph"/>
        <w:numPr>
          <w:ilvl w:val="0"/>
          <w:numId w:val="2"/>
        </w:numPr>
        <w:spacing w:after="40" w:before="40"/>
      </w:pPr>
      <w:r>
        <w:rPr>
          <w:rFonts w:ascii="Arial" w:cs="Arial" w:eastAsia="Arial" w:hAnsi="Arial"/>
          <w:b w:val="false"/>
          <w:bCs w:val="false"/>
          <w:sz w:val="22"/>
          <w:szCs w:val="22"/>
        </w:rPr>
        <w:t xml:space="preserve">AUC values in the 0.62-0.66 range are consistent with published literature and reflect the ceiling of what structured EHR data can achieve for this task.</w:t>
      </w:r>
    </w:p>
    <w:p>
      <w:pPr>
        <w:spacing w:after="60" w:before="60"/>
      </w:pPr>
      <w:r>
        <w:t xml:space="preserve"/>
      </w:r>
    </w:p>
    <w:p>
      <w:pPr>
        <w:spacing w:after="80" w:before="200"/>
      </w:pPr>
      <w:r>
        <w:rPr>
          <w:rFonts w:ascii="Arial" w:cs="Arial" w:eastAsia="Arial" w:hAnsi="Arial"/>
          <w:b/>
          <w:bCs/>
          <w:color w:val="2E7D32"/>
          <w:sz w:val="24"/>
          <w:szCs w:val="24"/>
        </w:rPr>
        <w:t xml:space="preserve">10.2 Limitations</w:t>
      </w:r>
    </w:p>
    <w:p>
      <w:pPr>
        <w:pStyle w:val="ListParagraph"/>
        <w:numPr>
          <w:ilvl w:val="0"/>
          <w:numId w:val="2"/>
        </w:numPr>
        <w:spacing w:after="40" w:before="40"/>
      </w:pPr>
      <w:r>
        <w:rPr>
          <w:rFonts w:ascii="Arial" w:cs="Arial" w:eastAsia="Arial" w:hAnsi="Arial"/>
          <w:b w:val="false"/>
          <w:bCs w:val="false"/>
          <w:sz w:val="22"/>
          <w:szCs w:val="22"/>
        </w:rPr>
        <w:t xml:space="preserve">The dataset covers 1999-2008; contemporary treatment protocols and diabetes medications have changed significantly since then.</w:t>
      </w:r>
    </w:p>
    <w:p>
      <w:pPr>
        <w:pStyle w:val="ListParagraph"/>
        <w:numPr>
          <w:ilvl w:val="0"/>
          <w:numId w:val="2"/>
        </w:numPr>
        <w:spacing w:after="40" w:before="40"/>
      </w:pPr>
      <w:r>
        <w:rPr>
          <w:rFonts w:ascii="Arial" w:cs="Arial" w:eastAsia="Arial" w:hAnsi="Arial"/>
          <w:b w:val="false"/>
          <w:bCs w:val="false"/>
          <w:sz w:val="22"/>
          <w:szCs w:val="22"/>
        </w:rPr>
        <w:t xml:space="preserve">Structured clinical data does not capture social determinants of health (housing stability, food access, social support) which are known to drive readmission rates.</w:t>
      </w:r>
    </w:p>
    <w:p>
      <w:pPr>
        <w:pStyle w:val="ListParagraph"/>
        <w:numPr>
          <w:ilvl w:val="0"/>
          <w:numId w:val="2"/>
        </w:numPr>
        <w:spacing w:after="40" w:before="40"/>
      </w:pPr>
      <w:r>
        <w:rPr>
          <w:rFonts w:ascii="Arial" w:cs="Arial" w:eastAsia="Arial" w:hAnsi="Arial"/>
          <w:b w:val="false"/>
          <w:bCs w:val="false"/>
          <w:sz w:val="22"/>
          <w:szCs w:val="22"/>
        </w:rPr>
        <w:t xml:space="preserve">Model calibration was not performed; the probability scores should be treated as relative risk rankings rather than absolute probability estimates.</w:t>
      </w:r>
    </w:p>
    <w:p>
      <w:pPr>
        <w:spacing w:after="60" w:before="60"/>
      </w:pPr>
      <w:r>
        <w:t xml:space="preserve"/>
      </w:r>
    </w:p>
    <w:p>
      <w:pPr>
        <w:spacing w:after="80" w:before="200"/>
      </w:pPr>
      <w:r>
        <w:rPr>
          <w:rFonts w:ascii="Arial" w:cs="Arial" w:eastAsia="Arial" w:hAnsi="Arial"/>
          <w:b/>
          <w:bCs/>
          <w:color w:val="2E7D32"/>
          <w:sz w:val="24"/>
          <w:szCs w:val="24"/>
        </w:rPr>
        <w:t xml:space="preserve">10.3 Future Extensions</w:t>
      </w:r>
    </w:p>
    <w:p>
      <w:pPr>
        <w:pStyle w:val="ListParagraph"/>
        <w:numPr>
          <w:ilvl w:val="0"/>
          <w:numId w:val="2"/>
        </w:numPr>
        <w:spacing w:after="40" w:before="40"/>
      </w:pPr>
      <w:r>
        <w:rPr>
          <w:rFonts w:ascii="Arial" w:cs="Arial" w:eastAsia="Arial" w:hAnsi="Arial"/>
          <w:b w:val="false"/>
          <w:bCs w:val="false"/>
          <w:sz w:val="22"/>
          <w:szCs w:val="22"/>
        </w:rPr>
        <w:t xml:space="preserve">Incorporate SHAP (SHapley Additive exPlanations) values for individual patient-level explanations -- telling a clinician exactly why a specific patient is flagged as high risk.</w:t>
      </w:r>
    </w:p>
    <w:p>
      <w:pPr>
        <w:pStyle w:val="ListParagraph"/>
        <w:numPr>
          <w:ilvl w:val="0"/>
          <w:numId w:val="2"/>
        </w:numPr>
        <w:spacing w:after="40" w:before="40"/>
      </w:pPr>
      <w:r>
        <w:rPr>
          <w:rFonts w:ascii="Arial" w:cs="Arial" w:eastAsia="Arial" w:hAnsi="Arial"/>
          <w:b w:val="false"/>
          <w:bCs w:val="false"/>
          <w:sz w:val="22"/>
          <w:szCs w:val="22"/>
        </w:rPr>
        <w:t xml:space="preserve">Build an interactive risk scoring tool where a clinician inputs a patient's discharge characteristics and receives an instant readmission risk score and top recommended interventions.</w:t>
      </w:r>
    </w:p>
    <w:p>
      <w:pPr>
        <w:pStyle w:val="ListParagraph"/>
        <w:numPr>
          <w:ilvl w:val="0"/>
          <w:numId w:val="2"/>
        </w:numPr>
        <w:spacing w:after="40" w:before="40"/>
      </w:pPr>
      <w:r>
        <w:rPr>
          <w:rFonts w:ascii="Arial" w:cs="Arial" w:eastAsia="Arial" w:hAnsi="Arial"/>
          <w:b w:val="false"/>
          <w:bCs w:val="false"/>
          <w:sz w:val="22"/>
          <w:szCs w:val="22"/>
        </w:rPr>
        <w:t xml:space="preserve">Extend to multi-class prediction: separately model readmission within 7 days (critical), 30 days (standard), and 90 days (chronic management).</w:t>
      </w:r>
    </w:p>
    <w:p>
      <w:pPr>
        <w:spacing w:after="60" w:before="60"/>
      </w:pPr>
      <w:r>
        <w:t xml:space="preserve"/>
      </w:r>
    </w:p>
    <w:p>
      <w:pPr>
        <w:pBdr>
          <w:bottom w:val="single" w:color="CCCCCC" w:sz="2" w:space="1"/>
        </w:pBdr>
        <w:spacing w:after="120" w:before="120"/>
      </w:pPr>
    </w:p>
    <w:p>
      <w:pPr>
        <w:pBdr>
          <w:bottom w:val="single" w:color="1B5E20" w:sz="4" w:space="4"/>
        </w:pBdr>
        <w:spacing w:after="120" w:before="320"/>
      </w:pPr>
      <w:r>
        <w:rPr>
          <w:rFonts w:ascii="Arial" w:cs="Arial" w:eastAsia="Arial" w:hAnsi="Arial"/>
          <w:b/>
          <w:bCs/>
          <w:color w:val="1B5E20"/>
          <w:sz w:val="28"/>
          <w:szCs w:val="28"/>
        </w:rPr>
        <w:t xml:space="preserve">11. References</w:t>
      </w:r>
    </w:p>
    <w:p>
      <w:pPr>
        <w:spacing w:after="60" w:before="60"/>
      </w:pPr>
      <w:r>
        <w:rPr>
          <w:rFonts w:ascii="Arial" w:cs="Arial" w:eastAsia="Arial" w:hAnsi="Arial"/>
          <w:b w:val="false"/>
          <w:bCs w:val="false"/>
          <w:color w:val="000000"/>
          <w:sz w:val="22"/>
          <w:szCs w:val="22"/>
        </w:rPr>
        <w:t xml:space="preserve">Strack, B., DeShazo, J. P., Gennings, C., Olmo, J. L., Ventura, S., Cios, K. J., &amp; Clore, J. N. (2014). Impact of HbA1c measurement on hospital readmission rates: Analysis of 70,000 clinical database patient records. BioMed Research International, 2014.</w:t>
      </w:r>
    </w:p>
    <w:p>
      <w:pPr>
        <w:spacing w:after="60" w:before="60"/>
      </w:pPr>
      <w:r>
        <w:t xml:space="preserve"/>
      </w:r>
    </w:p>
    <w:p>
      <w:pPr>
        <w:spacing w:after="60" w:before="60"/>
      </w:pPr>
      <w:r>
        <w:rPr>
          <w:rFonts w:ascii="Arial" w:cs="Arial" w:eastAsia="Arial" w:hAnsi="Arial"/>
          <w:b w:val="false"/>
          <w:bCs w:val="false"/>
          <w:color w:val="000000"/>
          <w:sz w:val="22"/>
          <w:szCs w:val="22"/>
        </w:rPr>
        <w:t xml:space="preserve">Dua, D. and Graff, C. (2019). UCI Machine Learning Repository. University of California, Irvine, School of Information and Computer Sciences. archive.ics.uci.edu/dataset/296</w:t>
      </w:r>
    </w:p>
    <w:p>
      <w:pPr>
        <w:spacing w:after="60" w:before="60"/>
      </w:pPr>
      <w:r>
        <w:t xml:space="preserve"/>
      </w:r>
    </w:p>
    <w:p>
      <w:pPr>
        <w:spacing w:after="60" w:before="60"/>
      </w:pPr>
      <w:r>
        <w:rPr>
          <w:rFonts w:ascii="Arial" w:cs="Arial" w:eastAsia="Arial" w:hAnsi="Arial"/>
          <w:b w:val="false"/>
          <w:bCs w:val="false"/>
          <w:color w:val="000000"/>
          <w:sz w:val="22"/>
          <w:szCs w:val="22"/>
        </w:rPr>
        <w:t xml:space="preserve">Chen, T., &amp; Guestrin, C. (2016). XGBoost: A scalable tree boosting system. Proceedings of the 22nd ACM SIGKDD International Conference on Knowledge Discovery and Data Mining.</w:t>
      </w:r>
    </w:p>
    <w:p>
      <w:pPr>
        <w:spacing w:after="60" w:before="60"/>
      </w:pPr>
      <w:r>
        <w:t xml:space="preserve"/>
      </w:r>
    </w:p>
    <w:p>
      <w:pPr>
        <w:spacing w:after="60" w:before="60"/>
      </w:pPr>
      <w:r>
        <w:rPr>
          <w:rFonts w:ascii="Arial" w:cs="Arial" w:eastAsia="Arial" w:hAnsi="Arial"/>
          <w:b w:val="false"/>
          <w:bCs w:val="false"/>
          <w:color w:val="000000"/>
          <w:sz w:val="22"/>
          <w:szCs w:val="22"/>
        </w:rPr>
        <w:t xml:space="preserve">Breiman, L. (2001). Random Forests. Machine Learning, 45(1), 5-32.</w:t>
      </w:r>
    </w:p>
    <w:p>
      <w:pPr>
        <w:spacing w:after="60" w:before="60"/>
      </w:pPr>
      <w:r>
        <w:t xml:space="preserve"/>
      </w:r>
    </w:p>
    <w:p>
      <w:pPr>
        <w:spacing w:after="60" w:before="60"/>
      </w:pPr>
      <w:r>
        <w:rPr>
          <w:rFonts w:ascii="Arial" w:cs="Arial" w:eastAsia="Arial" w:hAnsi="Arial"/>
          <w:b w:val="false"/>
          <w:bCs w:val="false"/>
          <w:color w:val="000000"/>
          <w:sz w:val="22"/>
          <w:szCs w:val="22"/>
        </w:rPr>
        <w:t xml:space="preserve">Centers for Medicare &amp; Medicaid Services. (2024). Hospital Readmissions Reduction Program (HRRP). cms.gov/medicare/quality/initiatives/hospital-quality-initiatives/readmissions-reduction-program</w:t>
      </w:r>
    </w:p>
    <w:p>
      <w:pPr>
        <w:spacing w:after="60" w:before="60"/>
      </w:pPr>
      <w:r>
        <w:t xml:space="preserve"/>
      </w:r>
    </w:p>
    <w:p>
      <w:pPr>
        <w:pBdr>
          <w:top w:val="single" w:color="1B5E20" w:sz="4" w:space="1"/>
        </w:pBdr>
        <w:spacing w:after="60" w:before="80"/>
      </w:pPr>
    </w:p>
    <w:p>
      <w:pPr>
        <w:jc w:val="center"/>
      </w:pPr>
      <w:r>
        <w:rPr>
          <w:rFonts w:ascii="Arial" w:cs="Arial" w:eastAsia="Arial" w:hAnsi="Arial"/>
          <w:color w:val="595959"/>
          <w:sz w:val="18"/>
          <w:szCs w:val="18"/>
        </w:rPr>
        <w:t xml:space="preserve">Akshara Miriyala  |  MS Business Analytics Capstone  |  University of Cincinnati  |  Spring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2026-07-01T21:24:59.191Z</dcterms:created>
  <dcterms:modified xsi:type="dcterms:W3CDTF">2026-07-01T21:24:59.203Z</dcterms:modified>
</cp:coreProperties>
</file>

<file path=docProps/custom.xml><?xml version="1.0" encoding="utf-8"?>
<Properties xmlns="http://schemas.openxmlformats.org/officeDocument/2006/custom-properties" xmlns:vt="http://schemas.openxmlformats.org/officeDocument/2006/docPropsVTypes"/>
</file>