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5E20"/>
          <w:sz w:val="26"/>
          <w:szCs w:val="26"/>
        </w:rPr>
        <w:t xml:space="preserve">University of Cincinnati</w:t>
      </w:r>
    </w:p>
    <w:p>
      <w:pPr>
        <w:spacing w:after="80" w:before="0"/>
        <w:jc w:val="center"/>
      </w:pPr>
      <w:r>
        <w:rPr>
          <w:rFonts w:ascii="Arial" w:cs="Arial" w:eastAsia="Arial" w:hAnsi="Arial"/>
          <w:color w:val="595959"/>
          <w:sz w:val="22"/>
          <w:szCs w:val="22"/>
        </w:rPr>
        <w:t xml:space="preserve">Carl H. Lindner College of Business</w:t>
      </w:r>
    </w:p>
    <w:p>
      <w:pPr>
        <w:spacing w:after="80" w:before="0"/>
        <w:jc w:val="center"/>
      </w:pPr>
      <w:r>
        <w:rPr>
          <w:rFonts w:ascii="Arial" w:cs="Arial" w:eastAsia="Arial" w:hAnsi="Arial"/>
          <w:color w:val="595959"/>
          <w:sz w:val="22"/>
          <w:szCs w:val="22"/>
        </w:rPr>
        <w:t xml:space="preserve">MS in Business Analytics — Capstone Project</w:t>
      </w:r>
    </w:p>
    <w:p>
      <w:pPr>
        <w:pBdr>
          <w:bottom w:val="single" w:color="1B5E20" w:sz="6" w:space="1"/>
        </w:pBdr>
        <w:spacing w:after="120" w:before="120"/>
      </w:pPr>
    </w:p>
    <w:p>
      <w:pPr>
        <w:spacing w:after="80" w:before="400"/>
        <w:jc w:val="center"/>
      </w:pPr>
      <w:r>
        <w:rPr>
          <w:rFonts w:ascii="Cambria" w:cs="Cambria" w:eastAsia="Cambria" w:hAnsi="Cambria"/>
          <w:b/>
          <w:bCs/>
          <w:color w:val="1B5E20"/>
          <w:sz w:val="44"/>
          <w:szCs w:val="44"/>
        </w:rPr>
        <w:t xml:space="preserve">Predicting and Prescribing</w:t>
      </w:r>
    </w:p>
    <w:p>
      <w:pPr>
        <w:spacing w:after="80" w:before="0"/>
        <w:jc w:val="center"/>
      </w:pPr>
      <w:r>
        <w:rPr>
          <w:rFonts w:ascii="Cambria" w:cs="Cambria" w:eastAsia="Cambria" w:hAnsi="Cambria"/>
          <w:b/>
          <w:bCs/>
          <w:color w:val="1B5E20"/>
          <w:sz w:val="44"/>
          <w:szCs w:val="44"/>
        </w:rPr>
        <w:t xml:space="preserve">Diabetic Patient Readmission Risk</w:t>
      </w:r>
    </w:p>
    <w:p>
      <w:pPr>
        <w:spacing w:after="500" w:before="0"/>
        <w:jc w:val="center"/>
      </w:pPr>
      <w:r>
        <w:rPr>
          <w:rFonts w:ascii="Arial" w:cs="Arial" w:eastAsia="Arial" w:hAnsi="Arial"/>
          <w:color w:val="2E7D32"/>
          <w:sz w:val="24"/>
          <w:szCs w:val="24"/>
        </w:rPr>
        <w:t xml:space="preserve">Turning Clinical Prediction into a Discharge Decision Tool</w:t>
      </w:r>
    </w:p>
    <w:p>
      <w:pPr>
        <w:spacing w:after="60" w:before="0"/>
        <w:jc w:val="center"/>
      </w:pPr>
      <w:r>
        <w:rPr>
          <w:rFonts w:ascii="Arial" w:cs="Arial" w:eastAsia="Arial" w:hAnsi="Arial"/>
          <w:b/>
          <w:bCs/>
          <w:color w:val="000000"/>
          <w:sz w:val="26"/>
          <w:szCs w:val="26"/>
        </w:rPr>
        <w:t xml:space="preserve">Akshara Miriyala</w:t>
      </w:r>
    </w:p>
    <w:p>
      <w:pPr>
        <w:spacing w:after="60" w:before="0"/>
        <w:jc w:val="center"/>
      </w:pPr>
      <w:r>
        <w:rPr>
          <w:rFonts w:ascii="Arial" w:cs="Arial" w:eastAsia="Arial" w:hAnsi="Arial"/>
          <w:color w:val="595959"/>
          <w:sz w:val="22"/>
          <w:szCs w:val="22"/>
        </w:rPr>
        <w:t xml:space="preserve">MS Business Analytics</w:t>
      </w:r>
    </w:p>
    <w:p>
      <w:pPr>
        <w:spacing w:after="60" w:before="0"/>
        <w:jc w:val="center"/>
      </w:pPr>
      <w:r>
        <w:rPr>
          <w:rFonts w:ascii="Arial" w:cs="Arial" w:eastAsia="Arial" w:hAnsi="Arial"/>
          <w:color w:val="595959"/>
          <w:sz w:val="22"/>
          <w:szCs w:val="22"/>
        </w:rPr>
        <w:t xml:space="preserve">University of Cincinnati</w:t>
      </w:r>
    </w:p>
    <w:p>
      <w:pPr>
        <w:spacing w:after="60" w:before="0"/>
        <w:jc w:val="center"/>
      </w:pPr>
      <w:r>
        <w:rPr>
          <w:rFonts w:ascii="Arial" w:cs="Arial" w:eastAsia="Arial" w:hAnsi="Arial"/>
          <w:color w:val="595959"/>
          <w:sz w:val="22"/>
          <w:szCs w:val="22"/>
        </w:rPr>
        <w:t xml:space="preserve">BANA 7099 — MS Capstone</w:t>
      </w:r>
    </w:p>
    <w:p>
      <w:pPr>
        <w:spacing w:after="60" w:before="0"/>
        <w:jc w:val="center"/>
      </w:pPr>
      <w:r>
        <w:rPr>
          <w:rFonts w:ascii="Arial" w:cs="Arial" w:eastAsia="Arial" w:hAnsi="Arial"/>
          <w:color w:val="595959"/>
          <w:sz w:val="22"/>
          <w:szCs w:val="22"/>
        </w:rPr>
        <w:t xml:space="preserve">First Reader: Professor Robert Rooker</w:t>
      </w:r>
    </w:p>
    <w:p>
      <w:pPr>
        <w:spacing w:after="400" w:before="0"/>
        <w:jc w:val="center"/>
      </w:pPr>
      <w:r>
        <w:rPr>
          <w:rFonts w:ascii="Arial" w:cs="Arial" w:eastAsia="Arial" w:hAnsi="Arial"/>
          <w:color w:val="595959"/>
          <w:sz w:val="22"/>
          <w:szCs w:val="22"/>
        </w:rPr>
        <w:t xml:space="preserve">Spring 2026</w:t>
      </w:r>
    </w:p>
    <w:p>
      <w:pPr>
        <w:pBdr>
          <w:bottom w:val="single" w:color="1B5E20" w:sz="6" w:space="1"/>
        </w:pBdr>
        <w:spacing w:after="120" w:before="0"/>
      </w:pPr>
    </w:p>
    <w:p>
      <w:pPr>
        <w:spacing w:after="0" w:before="80"/>
        <w:jc w:val="center"/>
      </w:pPr>
      <w:r>
        <w:rPr>
          <w:rFonts w:ascii="Arial" w:cs="Arial" w:eastAsia="Arial" w:hAnsi="Arial"/>
          <w:color w:val="595959"/>
          <w:sz w:val="18"/>
          <w:szCs w:val="18"/>
        </w:rPr>
        <w:t xml:space="preserve">Submitted in partial fulfillment of the requirements for the Master of Science in Business Analytics</w:t>
      </w:r>
    </w:p>
    <w:p>
      <w:r>
        <w:br/>
        <w:t xml:space="preserve"/>
      </w:r>
    </w:p>
    <w:p>
      <w:pPr>
        <w:pageBreakBefore/>
      </w:pPr>
      <w:r>
        <w:t xml:space="preserve"/>
      </w:r>
    </w:p>
    <w:p>
      <w:pPr>
        <w:spacing w:after="200" w:before="0"/>
        <w:jc w:val="center"/>
      </w:pPr>
      <w:r>
        <w:rPr>
          <w:rFonts w:ascii="Cambria" w:cs="Cambria" w:eastAsia="Cambria" w:hAnsi="Cambria"/>
          <w:b/>
          <w:bCs/>
          <w:color w:val="1B5E20"/>
          <w:sz w:val="36"/>
          <w:szCs w:val="36"/>
        </w:rPr>
        <w:t xml:space="preserve">Abstract</w:t>
      </w:r>
    </w:p>
    <w:p>
      <w:pPr>
        <w:spacing w:after="200" w:before="0"/>
        <w:jc w:val="both"/>
      </w:pPr>
      <w:r>
        <w:rPr>
          <w:rFonts w:ascii="Arial" w:cs="Arial" w:eastAsia="Arial" w:hAnsi="Arial"/>
          <w:sz w:val="22"/>
          <w:szCs w:val="22"/>
        </w:rPr>
        <w:t xml:space="preserve">Hospital readmission within 30 days of discharge represents one of the most costly and preventable challenges in the United States healthcare system, with annual costs exceeding 26 billion dollars. Diabetic patients face a particularly high risk, with 30-day readmission rates exceeding 20 percent — the highest of any chronic condition — resulting in significant financial penalties for hospitals under the Centers for Medicare and Medicaid Services (CMS) Hospital Readmissions Reduction Program.</w:t>
      </w:r>
    </w:p>
    <w:p>
      <w:pPr>
        <w:spacing w:after="200" w:before="0"/>
        <w:jc w:val="both"/>
      </w:pPr>
      <w:r>
        <w:rPr>
          <w:rFonts w:ascii="Arial" w:cs="Arial" w:eastAsia="Arial" w:hAnsi="Arial"/>
          <w:sz w:val="22"/>
          <w:szCs w:val="22"/>
        </w:rPr>
        <w:t xml:space="preserve">This capstone project addresses a critical gap in existing healthcare analytics: while most predictive models identify high-risk patients, they provide no guidance on what clinical decisions should be changed before discharge. This project goes beyond standard prediction by developing a prescriptive analytics layer that translates machine learning outputs into ranked, actionable clinical recommendations for hospital discharge planners and attending physicians.</w:t>
      </w:r>
    </w:p>
    <w:p>
      <w:pPr>
        <w:spacing w:after="200" w:before="0"/>
        <w:jc w:val="both"/>
      </w:pPr>
      <w:r>
        <w:rPr>
          <w:rFonts w:ascii="Arial" w:cs="Arial" w:eastAsia="Arial" w:hAnsi="Arial"/>
          <w:sz w:val="22"/>
          <w:szCs w:val="22"/>
        </w:rPr>
        <w:t xml:space="preserve">Using the publicly available UCI Diabetes 130-US Hospitals Dataset (Strack et al., 2014), comprising 101,766 patient encounters from 130 US hospitals collected between 1999 and 2008, this project builds and compares four machine learning models: Logistic Regression, Decision Tree, Random Forest, and XGBoost. After deduplication to 71,515 unique first-encounter records and comprehensive preprocessing, models were trained on a stratified 70/30 train-test split with class imbalance handled via class_weight balanced and scale_pos_weight parameters.</w:t>
      </w:r>
    </w:p>
    <w:p>
      <w:pPr>
        <w:spacing w:after="200" w:before="0"/>
        <w:jc w:val="both"/>
      </w:pPr>
      <w:r>
        <w:rPr>
          <w:rFonts w:ascii="Arial" w:cs="Arial" w:eastAsia="Arial" w:hAnsi="Arial"/>
          <w:sz w:val="22"/>
          <w:szCs w:val="22"/>
        </w:rPr>
        <w:t xml:space="preserve">XGBoost achieved the highest predictive performance with an out-of-sample AUC-ROC of 0.6588, outperforming Random Forest (0.6480), Decision Tree (0.6332), and Logistic Regression (0.6175). These AUC values are consistent with published literature on structured EHR readmission prediction and reflect the inherent ceiling of what structured clinical data can achieve for this task.</w:t>
      </w:r>
    </w:p>
    <w:p>
      <w:pPr>
        <w:spacing w:after="200" w:before="0"/>
        <w:jc w:val="both"/>
      </w:pPr>
      <w:r>
        <w:rPr>
          <w:rFonts w:ascii="Arial" w:cs="Arial" w:eastAsia="Arial" w:hAnsi="Arial"/>
          <w:sz w:val="22"/>
          <w:szCs w:val="22"/>
        </w:rPr>
        <w:t xml:space="preserve">Variable importance analysis from both Random Forest and XGBoost identified number of lab procedures, number of medications, time in hospital, number of diagnoses, discharge disposition, and insulin adjustment status as the strongest and most consistent predictors of readmission. The prescriptive layer translates these findings into four evidence-based clinical recommendations: (1) patients hospitalized for five or more days should trigger enhanced discharge planning protocols, as readmission risk nearly doubles from 6.4 percent at one day to 12.0 percent at eight days; (2) A1C testing should be mandated for all diabetic discharges to enable treatment adjustment before departure; (3) insulin dose reductions at discharge require mandatory 48-hour follow-up, as this group showed the highest readmission rate of 10.3 percent across all medication change categories; and (4) patients prescribed 16 or more medications require pharmacist-led reconciliation before discharge, given a polypharmacy readmission rate of 10.2 percent compared to 5.8 percent for low-medication patients.</w:t>
      </w:r>
    </w:p>
    <w:p>
      <w:pPr>
        <w:spacing w:after="200" w:before="0"/>
        <w:jc w:val="both"/>
      </w:pPr>
      <w:r>
        <w:rPr>
          <w:rFonts w:ascii="Arial" w:cs="Arial" w:eastAsia="Arial" w:hAnsi="Arial"/>
          <w:sz w:val="22"/>
          <w:szCs w:val="22"/>
        </w:rPr>
        <w:t xml:space="preserve">This project demonstrates the complete MS Business Analytics curriculum cycle, applying concepts from Data Mining I and II, Statistical Modeling, and Data Visualization to a clinically significant and practically actionable business problem. The prescriptive framing — translating statistical model outputs into operational discharge recommendations — represents the highest-value application of business analytics: not just predicting what will happen, but informing what decision-makers should do about it.</w:t>
      </w:r>
    </w:p>
    <w:p>
      <w:pPr>
        <w:spacing w:after="80" w:before="200"/>
      </w:pPr>
      <w:r>
        <w:rPr>
          <w:rFonts w:ascii="Arial" w:cs="Arial" w:eastAsia="Arial" w:hAnsi="Arial"/>
          <w:b/>
          <w:bCs/>
          <w:sz w:val="22"/>
          <w:szCs w:val="22"/>
        </w:rPr>
        <w:t xml:space="preserve">Keywords: </w:t>
      </w:r>
      <w:r>
        <w:rPr>
          <w:rFonts w:ascii="Arial" w:cs="Arial" w:eastAsia="Arial" w:hAnsi="Arial"/>
          <w:sz w:val="22"/>
          <w:szCs w:val="22"/>
        </w:rPr>
        <w:t xml:space="preserve">diabetic readmission prediction, XGBoost, Random Forest, prescriptive analytics, hospital discharge planning, class imbalance, AUC-ROC, clinical decision support, healthcare analytics</w:t>
      </w:r>
    </w:p>
    <w:p>
      <w:pPr>
        <w:pBdr>
          <w:bottom w:val="single" w:color="CCCCCC" w:sz="2" w:space="1"/>
        </w:pBdr>
        <w:spacing w:after="80" w:before="200"/>
      </w:pPr>
    </w:p>
    <w:p>
      <w:pPr>
        <w:jc w:val="center"/>
      </w:pPr>
      <w:r>
        <w:rPr>
          <w:rFonts w:ascii="Arial" w:cs="Arial" w:eastAsia="Arial" w:hAnsi="Arial"/>
          <w:color w:val="595959"/>
          <w:sz w:val="18"/>
          <w:szCs w:val="18"/>
        </w:rPr>
        <w:t xml:space="preserve">Akshara Miriyala  |  MS Business Analytics  |  University of Cincinnati  |  Spring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2026-07-20T02:53:36.825Z</dcterms:created>
  <dcterms:modified xsi:type="dcterms:W3CDTF">2026-07-20T02:53:36.838Z</dcterms:modified>
</cp:coreProperties>
</file>

<file path=docProps/custom.xml><?xml version="1.0" encoding="utf-8"?>
<Properties xmlns="http://schemas.openxmlformats.org/officeDocument/2006/custom-properties" xmlns:vt="http://schemas.openxmlformats.org/officeDocument/2006/docPropsVTypes"/>
</file>