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Moisture Estimation from Sentinel-1 Data over Indian Farmland</w:t>
      </w:r>
    </w:p>
    <w:p>
      <w:r>
        <w:rPr>
          <w:sz w:val="22"/>
        </w:rPr>
        <w:t>Ravi Sharma</w:t>
      </w:r>
      <w:r>
        <w:rPr>
          <w:sz w:val="22"/>
          <w:vertAlign w:val="superscript"/>
        </w:rPr>
        <w:t>a</w:t>
      </w:r>
      <w:r>
        <w:rPr>
          <w:sz w:val="22"/>
        </w:rPr>
        <w:t xml:space="preserve">, </w:t>
      </w:r>
      <w:r>
        <w:rPr>
          <w:sz w:val="22"/>
        </w:rPr>
        <w:t>Priya Nair</w:t>
      </w:r>
      <w:r>
        <w:rPr>
          <w:sz w:val="22"/>
          <w:vertAlign w:val="superscript"/>
        </w:rPr>
        <w:t>b,*</w:t>
      </w:r>
    </w:p>
    <w:p>
      <w:r>
        <w:rPr>
          <w:sz w:val="22"/>
          <w:vertAlign w:val="superscript"/>
        </w:rPr>
        <w:t>a</w:t>
      </w:r>
      <w:r>
        <w:rPr>
          <w:sz w:val="22"/>
        </w:rPr>
        <w:t xml:space="preserve"> Department of Physics, University of Delhi, New Delhi 110007, India</w:t>
      </w:r>
    </w:p>
    <w:p>
      <w:r>
        <w:rPr>
          <w:sz w:val="22"/>
          <w:vertAlign w:val="superscript"/>
        </w:rPr>
        <w:t>b</w:t>
      </w:r>
      <w:r>
        <w:rPr>
          <w:sz w:val="22"/>
        </w:rPr>
        <w:t xml:space="preserve"> School of Engineering, University of Edinburgh, Edinburgh EH9 3FB, United Kingdom</w:t>
      </w:r>
    </w:p>
    <w:p>
      <w:r>
        <w:rPr>
          <w:sz w:val="22"/>
        </w:rPr>
        <w:t>*Corresponding author: priya.nair@ed.ac.uk</w:t>
      </w:r>
    </w:p>
    <w:p>
      <w:r>
        <w:rPr>
          <w:sz w:val="22"/>
        </w:rPr>
        <w:t>Email: ravi.sharma@du.ac.in</w:t>
      </w:r>
    </w:p>
    <w:p>
      <w:r>
        <w:rPr>
          <w:sz w:val="22"/>
        </w:rPr>
        <w:br w:type="page"/>
      </w:r>
    </w:p>
    <w:p>
      <w:pPr>
        <w:pStyle w:val="Heading1"/>
      </w:pPr>
      <w:r>
        <w:t>Abstract</w:t>
      </w:r>
    </w:p>
    <w:p>
      <w:r>
        <w:rPr>
          <w:sz w:val="22"/>
        </w:rPr>
        <w:t xml:space="preserve">We estimate soil moisture from radar backscatter over farmland in northern India and compare three retrieval models against field probes collected over two monsoon seasons. We estimate soil moisture from radar backscatter over farmland in northern India and compare three retrieval models against field probes collected over two monsoon seasons. We estimate soil moisture from radar backscatter over farmland in northern India and compare three retrieval models against field probes collected over two monsoon seasons. </w:t>
      </w:r>
    </w:p>
    <w:p>
      <w:r>
        <w:rPr>
          <w:sz w:val="22"/>
        </w:rPr>
        <w:t>Keywords: soil moisture; Sentinel-1; radar; agriculture</w:t>
      </w:r>
    </w:p>
    <w:p>
      <w:pPr>
        <w:pStyle w:val="Heading1"/>
      </w:pPr>
      <w:r>
        <w:t>1. Introduction</w:t>
      </w:r>
    </w:p>
    <w:p>
      <w:r>
        <w:rPr>
          <w:sz w:val="22"/>
        </w:rPr>
        <w:t xml:space="preserve">Large language models are now used to read scientific documents, yet most submission systems still ask authors to type the same metadata by hand. Prior work by Smith et al. [3] studied header parsing with conditional random fields, while Lee and Wong [5] relied on font statistics. We compare layout rules with learned models on manuscripts from many templates and report where each one fails. </w:t>
      </w:r>
    </w:p>
    <w:p>
      <w:r>
        <w:rPr>
          <w:sz w:val="22"/>
        </w:rPr>
        <w:t xml:space="preserve">Large language models are now used to read scientific documents, yet most submission systems still ask authors to type the same metadata by hand. Prior work by Smith et al. [3] studied header parsing with conditional random fields, while Lee and Wong [5] relied on font statistics. We compare layout rules with learned models on manuscripts from many templates and report where each one fails. </w:t>
      </w:r>
    </w:p>
    <w:p>
      <w:r>
        <w:rPr>
          <w:sz w:val="22"/>
        </w:rPr>
        <w:t xml:space="preserve">Large language models are now used to read scientific documents, yet most submission systems still ask authors to type the same metadata by hand. Prior work by Smith et al. [3] studied header parsing with conditional random fields, while Lee and Wong [5] relied on font statistics. We compare layout rules with learned models on manuscripts from many templates and report where each one fails. </w:t>
      </w:r>
    </w:p>
    <w:p>
      <w:r>
        <w:rPr>
          <w:sz w:val="22"/>
        </w:rPr>
        <w:t>Figure 1: Study area.</w:t>
      </w:r>
    </w:p>
    <w:p>
      <w:r>
        <w:rPr>
          <w:sz w:val="22"/>
        </w:rPr>
        <w:t>Figure 2: Backscatter over time.</w:t>
      </w:r>
    </w:p>
    <w:p>
      <w:r>
        <w:rPr>
          <w:sz w:val="22"/>
        </w:rPr>
        <w:t>Table 1: Field probe statistics.</w:t>
      </w:r>
    </w:p>
    <w:p>
      <w:pPr>
        <w:pStyle w:val="Heading1"/>
      </w:pPr>
      <w:r>
        <w:t>CRediT authorship contribution statement</w:t>
      </w:r>
    </w:p>
    <w:p>
      <w:r>
        <w:rPr>
          <w:sz w:val="22"/>
        </w:rPr>
        <w:t>Ravi Sharma: Conceptualization, Methodology, Software. Priya Nair: Supervision, Writing – review &amp; editing.</w:t>
      </w:r>
    </w:p>
    <w:p>
      <w:pPr>
        <w:pStyle w:val="Heading1"/>
      </w:pPr>
      <w:r>
        <w:t>Declaration of competing interest</w:t>
      </w:r>
    </w:p>
    <w:p>
      <w:r>
        <w:rPr>
          <w:sz w:val="22"/>
        </w:rPr>
        <w:t>The authors declare that they have no known competing financial interests.</w:t>
      </w:r>
    </w:p>
    <w:p>
      <w:pPr>
        <w:pStyle w:val="Heading1"/>
      </w:pPr>
      <w:r>
        <w:t>Data availability</w:t>
      </w:r>
    </w:p>
    <w:p>
      <w:r>
        <w:rPr>
          <w:sz w:val="22"/>
        </w:rPr>
        <w:t>Data are available at https://zenodo.org/records/1234567.</w:t>
      </w:r>
    </w:p>
    <w:p>
      <w:pPr>
        <w:pStyle w:val="Heading1"/>
      </w:pPr>
      <w:r>
        <w:t>Funding</w:t>
      </w:r>
    </w:p>
    <w:p>
      <w:r>
        <w:rPr>
          <w:sz w:val="22"/>
        </w:rPr>
        <w:t>This work was funded by ISRO under grant no. ISRO/RES/3/812/2022.</w:t>
      </w:r>
    </w:p>
    <w:p>
      <w:pPr>
        <w:pStyle w:val="Heading1"/>
      </w:pPr>
      <w:r>
        <w:t>References</w:t>
      </w:r>
    </w:p>
    <w:p>
      <w:r>
        <w:rPr>
          <w:sz w:val="22"/>
        </w:rPr>
        <w:t>Author 1, B. (2011). A paper about radar. Remote Sensing, 1, 1-10.</w:t>
      </w:r>
    </w:p>
    <w:p>
      <w:r>
        <w:rPr>
          <w:sz w:val="22"/>
        </w:rPr>
        <w:t>Author 2, B. (2012). A paper about radar. Remote Sensing, 2, 1-10.</w:t>
      </w:r>
    </w:p>
    <w:p>
      <w:r>
        <w:rPr>
          <w:sz w:val="22"/>
        </w:rPr>
        <w:t>Author 3, B. (2013). A paper about radar. Remote Sensing, 3, 1-10.</w:t>
      </w:r>
    </w:p>
    <w:p>
      <w:r>
        <w:rPr>
          <w:sz w:val="22"/>
        </w:rPr>
        <w:t>Author 4, B. (2014). A paper about radar. Remote Sensing, 4, 1-10.</w:t>
      </w:r>
    </w:p>
    <w:p>
      <w:r>
        <w:rPr>
          <w:sz w:val="22"/>
        </w:rPr>
        <w:t>Author 5, B. (2015). A paper about radar. Remote Sensing, 5, 1-10.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