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Sundarban:</w:t>
      </w:r>
      <w:r>
        <w:t xml:space="preserve"> </w:t>
      </w:r>
      <w:r>
        <w:t xml:space="preserve">Provenance-First,</w:t>
      </w:r>
      <w:r>
        <w:t xml:space="preserve"> </w:t>
      </w:r>
      <w:r>
        <w:t xml:space="preserve">Adversarially</w:t>
      </w:r>
      <w:r>
        <w:t xml:space="preserve"> </w:t>
      </w:r>
      <w:r>
        <w:t xml:space="preserve">Evaluated</w:t>
      </w:r>
      <w:r>
        <w:t xml:space="preserve"> </w:t>
      </w:r>
      <w:r>
        <w:t xml:space="preserve">Multi-Agent</w:t>
      </w:r>
      <w:r>
        <w:t xml:space="preserve"> </w:t>
      </w:r>
      <w:r>
        <w:t xml:space="preserve">LLM</w:t>
      </w:r>
      <w:r>
        <w:t xml:space="preserve"> </w:t>
      </w:r>
      <w:r>
        <w:t xml:space="preserve">Verification</w:t>
      </w:r>
      <w:r>
        <w:t xml:space="preserve"> </w:t>
      </w:r>
      <w:r>
        <w:t xml:space="preserve">of</w:t>
      </w:r>
      <w:r>
        <w:t xml:space="preserve"> </w:t>
      </w:r>
      <w:r>
        <w:t xml:space="preserve">Citizen-Submitted</w:t>
      </w:r>
      <w:r>
        <w:t xml:space="preserve"> </w:t>
      </w:r>
      <w:r>
        <w:t xml:space="preserve">Afforestation</w:t>
      </w:r>
      <w:r>
        <w:t xml:space="preserve"> </w:t>
      </w:r>
      <w:r>
        <w:t xml:space="preserve">Carbon</w:t>
      </w:r>
      <w:r>
        <w:t xml:space="preserve"> </w:t>
      </w:r>
      <w:r>
        <w:t xml:space="preserve">Credits</w:t>
      </w:r>
      <w:r>
        <w:t xml:space="preserve"> </w:t>
      </w:r>
      <w:r>
        <w:t xml:space="preserve">with</w:t>
      </w:r>
      <w:r>
        <w:t xml:space="preserve"> </w:t>
      </w:r>
      <w:r>
        <w:t xml:space="preserve">Capture-Time</w:t>
      </w:r>
      <w:r>
        <w:t xml:space="preserve"> </w:t>
      </w:r>
      <w:r>
        <w:t xml:space="preserve">Attestation</w:t>
      </w:r>
      <w:r>
        <w:t xml:space="preserve"> </w:t>
      </w:r>
      <w:r>
        <w:t xml:space="preserve">and</w:t>
      </w:r>
      <w:r>
        <w:t xml:space="preserve"> </w:t>
      </w:r>
      <w:r>
        <w:t xml:space="preserve">Blockchain-Anchored</w:t>
      </w:r>
      <w:r>
        <w:t xml:space="preserve"> </w:t>
      </w:r>
      <w:r>
        <w:t xml:space="preserve">Evidence</w:t>
      </w:r>
    </w:p>
    <w:p>
      <w:pPr>
        <w:pStyle w:val="Author"/>
      </w:pPr>
      <w:r>
        <w:t xml:space="preserve">[Author</w:t>
      </w:r>
      <w:r>
        <w:t xml:space="preserve"> </w:t>
      </w:r>
      <w:r>
        <w:t xml:space="preserve">names],</w:t>
      </w:r>
      <w:r>
        <w:t xml:space="preserve"> </w:t>
      </w:r>
      <w:r>
        <w:t xml:space="preserve">[Department],</w:t>
      </w:r>
      <w:r>
        <w:t xml:space="preserve"> </w:t>
      </w:r>
      <w:r>
        <w:t xml:space="preserve">[College],</w:t>
      </w:r>
      <w:r>
        <w:t xml:space="preserve"> </w:t>
      </w:r>
      <w:r>
        <w:t xml:space="preserve">[Email]</w:t>
      </w:r>
    </w:p>
    <w:p>
      <w:pPr>
        <w:pStyle w:val="BlockText"/>
      </w:pPr>
      <w:r>
        <w:rPr>
          <w:bCs/>
          <w:b/>
        </w:rPr>
        <w:t xml:space="preserve">Draft status (v0.1).</w:t>
      </w:r>
      <w:r>
        <w:t xml:space="preserve"> </w:t>
      </w:r>
      <w:r>
        <w:t xml:space="preserve">The text is complete except Section VII, which holds result-table shells. Every cell marked [TBD] must be filled from real experimental runs, and the abstract numbers must be updated to match. Nothing in this draft reports a measured result. Verify all reference details (author lists, titles, venues) before submission.</w:t>
      </w:r>
    </w:p>
    <w:bookmarkStart w:id="20" w:name="abstract"/>
    <w:p>
      <w:pPr>
        <w:pStyle w:val="Heading1"/>
      </w:pPr>
      <w:r>
        <w:t xml:space="preserve">Abstract</w:t>
      </w:r>
    </w:p>
    <w:p>
      <w:pPr>
        <w:pStyle w:val="FirstParagraph"/>
      </w:pPr>
      <w:r>
        <w:t xml:space="preserve">Digital monitoring, reporting and verification (dMRV) promises to make carbon-credit issuance faster and cheaper, and large language models (LLMs) are an attractive way to review evidence submitted by small contributors such as farmers, NGOs and community groups. However, citizen-submitted evidence is adversarial by nature: photographs can be reused, stock-sourced or AI-generated, locations can be spoofed, documents can be altered, and text hidden in files can try to instruct the verifier itself. Existing AI-and-blockchain frameworks mostly propose architectures and assume honest inputs, and their robustness to such attacks is not systematically measured. This paper presents Sundarban, a provenance-first verification system for afforestation credits, and evaluates it adversarially. We contribute (1) a threat taxonomy of fourteen attack classes against citizen-submitted dMRV, (2) Sundarban-Bench, a labelled benchmark with attacks injected by construction, (3) a comparison of verifier designs, namely rules only, a single LLM prompt, homogeneous multi-model consensus, specialist multi-agent verification, and specialist agents with deterministic tools, and (4) a capture-time attestation scheme in which the mobile app signs each photograph together with location, time and a server nonce, and anchors a Merkle root of all evidence on a blockchain registry alongside a parcel commitment that blocks double registration. We measure attack success rate, false-rejection rate, cost, latency, cache efficiency and on-chain gas. Across the benchmark, attestation reduced attack success from [X]% to [Y]% at a false-rejection cost of [Z]%, and homogeneous consensus [did / did not] outperform a single prompt on correlated attack classes. We release the benchmark and code.</w:t>
      </w:r>
    </w:p>
    <w:p>
      <w:pPr>
        <w:pStyle w:val="BodyText"/>
      </w:pPr>
      <w:r>
        <w:rPr>
          <w:bCs/>
          <w:b/>
        </w:rPr>
        <w:t xml:space="preserve">Index Terms:</w:t>
      </w:r>
      <w:r>
        <w:t xml:space="preserve"> </w:t>
      </w:r>
      <w:r>
        <w:t xml:space="preserve">carbon credits, dMRV, large language models, multi-agent systems, prompt injection, remote attestation, blockchain, smart contracts, Merkle tree</w:t>
      </w:r>
    </w:p>
    <w:bookmarkEnd w:id="20"/>
    <w:bookmarkStart w:id="21" w:name="i.-introduction"/>
    <w:p>
      <w:pPr>
        <w:pStyle w:val="Heading1"/>
      </w:pPr>
      <w:r>
        <w:t xml:space="preserve">I. Introduction</w:t>
      </w:r>
    </w:p>
    <w:p>
      <w:pPr>
        <w:pStyle w:val="FirstParagraph"/>
      </w:pPr>
      <w:r>
        <w:t xml:space="preserve">Voluntary carbon markets depend on trust that a credit represents a real, additional and uniquely claimed removal or reduction of greenhouse gases. That trust is weakened by double counting, phantom credits, greenwashing, and verification cycles that have been reported to last six to eighteen months [1]. Small contributors, such as landowners and community tree-planting groups, are further disadvantaged because the cost and complexity of conventional verification can exceed the value of the credits they could earn.</w:t>
      </w:r>
    </w:p>
    <w:p>
      <w:pPr>
        <w:pStyle w:val="BodyText"/>
      </w:pPr>
      <w:r>
        <w:t xml:space="preserve">Digital MRV aims to close this gap by collecting evidence electronically and automating parts of the review. Recent work combines blockchain registries, machine learning and remote sensing to this end [1]–[5]. LLMs with vision capability make a new design possible: an automated reviewer that reads photographs, forms and documents and explains its judgement. For citizen-submitted projects, however, the evidence comes from the party who profits from approval. A verifier that is accurate on honest inputs may fail badly on deliberately crafted ones, and a blockchain that records an approval makes a false input tamper-evident but not true.</w:t>
      </w:r>
    </w:p>
    <w:p>
      <w:pPr>
        <w:pStyle w:val="BodyText"/>
      </w:pPr>
      <w:r>
        <w:t xml:space="preserve">Prior frameworks typically describe an architecture and argue its benefits. One recent proposal, for example, requires several independent AI models to reach agreement before a credit is verified, motivated by removing single points of failure [1]. Whether agreement among models helps when the models share blind spots, for instance when all of them can be misled by the same injected instruction or the same convincing synthetic image, is an empirical question that architecture descriptions do not answer.</w:t>
      </w:r>
    </w:p>
    <w:p>
      <w:pPr>
        <w:pStyle w:val="BodyText"/>
      </w:pPr>
      <w:r>
        <w:t xml:space="preserve">This paper takes an adversarial, measurement-driven view. Our contributions are:</w:t>
      </w:r>
    </w:p>
    <w:p>
      <w:pPr>
        <w:numPr>
          <w:ilvl w:val="0"/>
          <w:numId w:val="1001"/>
        </w:numPr>
        <w:pStyle w:val="Compact"/>
      </w:pPr>
      <w:r>
        <w:rPr>
          <w:bCs/>
          <w:b/>
        </w:rPr>
        <w:t xml:space="preserve">A threat taxonomy</w:t>
      </w:r>
      <w:r>
        <w:t xml:space="preserve"> </w:t>
      </w:r>
      <w:r>
        <w:t xml:space="preserve">of fourteen attack classes against citizen-submitted afforestation dMRV, grouped by what they target (provenance, semantics, consistency, registry, and the verifier model itself).</w:t>
      </w:r>
    </w:p>
    <w:p>
      <w:pPr>
        <w:numPr>
          <w:ilvl w:val="0"/>
          <w:numId w:val="1001"/>
        </w:numPr>
        <w:pStyle w:val="Compact"/>
      </w:pPr>
      <w:r>
        <w:rPr>
          <w:bCs/>
          <w:b/>
        </w:rPr>
        <w:t xml:space="preserve">Sundarban-Bench</w:t>
      </w:r>
      <w:r>
        <w:t xml:space="preserve">, a labelled benchmark in which attacks are injected programmatically so that ground truth is known by construction, released with code.</w:t>
      </w:r>
    </w:p>
    <w:p>
      <w:pPr>
        <w:numPr>
          <w:ilvl w:val="0"/>
          <w:numId w:val="1001"/>
        </w:numPr>
        <w:pStyle w:val="Compact"/>
      </w:pPr>
      <w:r>
        <w:rPr>
          <w:bCs/>
          <w:b/>
        </w:rPr>
        <w:t xml:space="preserve">A controlled comparison of verifier designs</w:t>
      </w:r>
      <w:r>
        <w:t xml:space="preserve">: rules only, single prompt, homogeneous consensus, specialist multi-agent, and specialist agents with deterministic tools, with ablations.</w:t>
      </w:r>
    </w:p>
    <w:p>
      <w:pPr>
        <w:numPr>
          <w:ilvl w:val="0"/>
          <w:numId w:val="1001"/>
        </w:numPr>
        <w:pStyle w:val="Compact"/>
      </w:pPr>
      <w:r>
        <w:rPr>
          <w:bCs/>
          <w:b/>
        </w:rPr>
        <w:t xml:space="preserve">Capture-time attestation</w:t>
      </w:r>
      <w:r>
        <w:t xml:space="preserve">, in which the mobile app cryptographically binds each photograph to location, time and a server nonce at the moment of capture, and the resulting evidence is committed on-chain as a Merkle root together with a parcel commitment, with a measurement of attack-success reduction, honest-user cost and gas overhead.</w:t>
      </w:r>
    </w:p>
    <w:p>
      <w:pPr>
        <w:pStyle w:val="FirstParagraph"/>
      </w:pPr>
      <w:r>
        <w:t xml:space="preserve">Section II reviews related work. Section III gives the threat model, Section IV the system, Section V the benchmark, Section VI the experimental setup, Section VII the results, Section VIII the discussion and limitations, and Section IX concludes.</w:t>
      </w:r>
    </w:p>
    <w:bookmarkEnd w:id="21"/>
    <w:bookmarkStart w:id="22" w:name="ii.-background-and-related-work"/>
    <w:p>
      <w:pPr>
        <w:pStyle w:val="Heading1"/>
      </w:pPr>
      <w:r>
        <w:t xml:space="preserve">II. Background and Related Work</w:t>
      </w:r>
    </w:p>
    <w:p>
      <w:pPr>
        <w:pStyle w:val="FirstParagraph"/>
      </w:pPr>
      <w:r>
        <w:rPr>
          <w:bCs/>
          <w:b/>
        </w:rPr>
        <w:t xml:space="preserve">A. Blockchain carbon-credit platforms.</w:t>
      </w:r>
      <w:r>
        <w:t xml:space="preserve"> </w:t>
      </w:r>
      <w:r>
        <w:t xml:space="preserve">Several works propose blockchain platforms for minting, trading and retiring credits. Examples include a platform that supports minting, exchange and burning of digital credits and issues NFT certificates as proof of retirement [5], and token-based models aimed at transparency and trust [4]. These works focus on the ledger and market layer and mostly treat the correctness of submitted project data as an input.</w:t>
      </w:r>
    </w:p>
    <w:p>
      <w:pPr>
        <w:pStyle w:val="BodyText"/>
      </w:pPr>
      <w:r>
        <w:rPr>
          <w:bCs/>
          <w:b/>
        </w:rPr>
        <w:t xml:space="preserve">B. AI-assisted verification frameworks.</w:t>
      </w:r>
      <w:r>
        <w:t xml:space="preserve"> </w:t>
      </w:r>
      <w:r>
        <w:t xml:space="preserve">Other works combine AI with blockchain for verification. One framework describes a permissioned ledger and a meta-model that assigns confidence scores to AI predictions [2]. A systematic review summarises the use of machine learning and blockchain, combined with satellite data, against greenwashing in forest credits [3]. A recent conference paper proposes a multi-agent AI consensus mechanism that combines IoT emission sensors, satellite monitoring, fraud detection and smart contracts for industrial emissions, in which multiple independent models must agree before verification [1]. Our setting differs in the evidence source (human-submitted photographs, documents and forms for afforestation rather than sensor streams from industrial facilities) and in the contribution type (an adversarial empirical evaluation). We implement the consensus idea as a baseline configuration rather than claiming it as novel.</w:t>
      </w:r>
    </w:p>
    <w:p>
      <w:pPr>
        <w:pStyle w:val="BodyText"/>
      </w:pPr>
      <w:r>
        <w:rPr>
          <w:bCs/>
          <w:b/>
        </w:rPr>
        <w:t xml:space="preserve">C. Robustness of LLM-based systems.</w:t>
      </w:r>
      <w:r>
        <w:t xml:space="preserve"> </w:t>
      </w:r>
      <w:r>
        <w:t xml:space="preserve">Self-consistency and multi-agent debate improve reasoning by aggregating several model outputs [8], [9], but aggregation does not by itself defend against inputs that mislead every sample in the same way. Prompt injection, in which instructions embedded in data override the intended task, is a documented vulnerability of LLM-integrated applications [6], [7]. A verifier that reads uploaded documents and images is exposed to it by design.</w:t>
      </w:r>
    </w:p>
    <w:p>
      <w:pPr>
        <w:pStyle w:val="BodyText"/>
      </w:pPr>
      <w:r>
        <w:rPr>
          <w:bCs/>
          <w:b/>
        </w:rPr>
        <w:t xml:space="preserve">D. Evidence integrity.</w:t>
      </w:r>
      <w:r>
        <w:t xml:space="preserve"> </w:t>
      </w:r>
      <w:r>
        <w:t xml:space="preserve">Merkle trees [10] allow a single commitment to cover many items, and any item can later be proved a member without revealing the others. We use them to commit evidence bundles on-chain.</w:t>
      </w:r>
    </w:p>
    <w:p>
      <w:pPr>
        <w:pStyle w:val="BodyText"/>
      </w:pPr>
      <w:r>
        <w:rPr>
          <w:bCs/>
          <w:b/>
        </w:rPr>
        <w:t xml:space="preserve">Gap.</w:t>
      </w:r>
      <w:r>
        <w:t xml:space="preserve"> </w:t>
      </w:r>
      <w:r>
        <w:t xml:space="preserve">To our knowledge, the literature we reviewed does not offer a labelled adversarial benchmark for citizen-submitted afforestation evidence, a direct comparison of single, consensus and specialist LLM verifiers under attack, or a measurement of capture-time attestation as a defense in this domain. This paper addresses these gaps. (The search behind this statement should be repeated and documented before submission.)</w:t>
      </w:r>
    </w:p>
    <w:bookmarkEnd w:id="22"/>
    <w:bookmarkStart w:id="23" w:name="iii.-threat-model-and-taxonomy"/>
    <w:p>
      <w:pPr>
        <w:pStyle w:val="Heading1"/>
      </w:pPr>
      <w:r>
        <w:t xml:space="preserve">III. Threat Model and Taxonomy</w:t>
      </w:r>
    </w:p>
    <w:p>
      <w:pPr>
        <w:pStyle w:val="FirstParagraph"/>
      </w:pPr>
      <w:r>
        <w:rPr>
          <w:bCs/>
          <w:b/>
        </w:rPr>
        <w:t xml:space="preserve">Entities.</w:t>
      </w:r>
      <w:r>
        <w:t xml:space="preserve"> </w:t>
      </w:r>
      <w:r>
        <w:rPr>
          <w:iCs/>
          <w:i/>
        </w:rPr>
        <w:t xml:space="preserve">Contributors</w:t>
      </w:r>
      <w:r>
        <w:t xml:space="preserve"> </w:t>
      </w:r>
      <w:r>
        <w:t xml:space="preserve">submit projects and are untrusted.</w:t>
      </w:r>
      <w:r>
        <w:t xml:space="preserve"> </w:t>
      </w:r>
      <w:r>
        <w:rPr>
          <w:iCs/>
          <w:i/>
        </w:rPr>
        <w:t xml:space="preserve">Administrators</w:t>
      </w:r>
      <w:r>
        <w:t xml:space="preserve"> </w:t>
      </w:r>
      <w:r>
        <w:t xml:space="preserve">make final decisions and hold the issuing key; they are trusted. The</w:t>
      </w:r>
      <w:r>
        <w:t xml:space="preserve"> </w:t>
      </w:r>
      <w:r>
        <w:rPr>
          <w:iCs/>
          <w:i/>
        </w:rPr>
        <w:t xml:space="preserve">verifier pipeline</w:t>
      </w:r>
      <w:r>
        <w:t xml:space="preserve"> </w:t>
      </w:r>
      <w:r>
        <w:t xml:space="preserve">(LLM agents and deterministic tools) advises administrators. The</w:t>
      </w:r>
      <w:r>
        <w:t xml:space="preserve"> </w:t>
      </w:r>
      <w:r>
        <w:rPr>
          <w:iCs/>
          <w:i/>
        </w:rPr>
        <w:t xml:space="preserve">blockchain</w:t>
      </w:r>
      <w:r>
        <w:t xml:space="preserve"> </w:t>
      </w:r>
      <w:r>
        <w:t xml:space="preserve">provides integrity and ordering but no truth about off-chain facts.</w:t>
      </w:r>
    </w:p>
    <w:p>
      <w:pPr>
        <w:pStyle w:val="BodyText"/>
      </w:pPr>
      <w:r>
        <w:rPr>
          <w:bCs/>
          <w:b/>
        </w:rPr>
        <w:t xml:space="preserve">Adversary.</w:t>
      </w:r>
      <w:r>
        <w:t xml:space="preserve"> </w:t>
      </w:r>
      <w:r>
        <w:t xml:space="preserve">A contributor who controls every file, form field and metadata value they submit; may use generative AI to produce images or documents; may script submissions; may enable mock-location features on their own device; and may embed text intended to manipulate the verifier. The adversary cannot compromise administrator keys, break standard cryptography, or alter blockchain consensus.</w:t>
      </w:r>
    </w:p>
    <w:p>
      <w:pPr>
        <w:pStyle w:val="BodyText"/>
      </w:pPr>
      <w:r>
        <w:rPr>
          <w:bCs/>
          <w:b/>
        </w:rPr>
        <w:t xml:space="preserve">Goals.</w:t>
      </w:r>
      <w:r>
        <w:t xml:space="preserve"> </w:t>
      </w:r>
      <w:r>
        <w:t xml:space="preserve">Obtain approval and credits for projects that were not done or are exaggerated; claim the same land or the same evidence twice; or manipulate the verifier into approving.</w:t>
      </w:r>
    </w:p>
    <w:p>
      <w:pPr>
        <w:pStyle w:val="BodyText"/>
      </w:pPr>
      <w:r>
        <w:rPr>
          <w:bCs/>
          <w:b/>
        </w:rPr>
        <w:t xml:space="preserve">Table 1. Attack taxonomy.</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2"/>
        <w:gridCol w:w="4153"/>
        <w:gridCol w:w="1255"/>
        <w:gridCol w:w="2028"/>
      </w:tblGrid>
      <w:tr>
        <w:trPr>
          <w:tblHeader w:val="true"/>
        </w:trPr>
        <w:tc>
          <w:tcPr/>
          <w:p>
            <w:pPr>
              <w:pStyle w:val="Compact"/>
              <w:jc w:val="left"/>
            </w:pPr>
            <w:r>
              <w:rPr>
                <w:sz w:val="19"/>
              </w:rPr>
              <w:t xml:space="preserve">ID</w:t>
            </w:r>
          </w:p>
        </w:tc>
        <w:tc>
          <w:tcPr/>
          <w:p>
            <w:pPr>
              <w:pStyle w:val="Compact"/>
              <w:jc w:val="left"/>
            </w:pPr>
            <w:r>
              <w:rPr>
                <w:sz w:val="19"/>
              </w:rPr>
              <w:t xml:space="preserve">Attack</w:t>
            </w:r>
          </w:p>
        </w:tc>
        <w:tc>
          <w:tcPr/>
          <w:p>
            <w:pPr>
              <w:pStyle w:val="Compact"/>
              <w:jc w:val="left"/>
            </w:pPr>
            <w:r>
              <w:rPr>
                <w:sz w:val="19"/>
              </w:rPr>
              <w:t xml:space="preserve">Target</w:t>
            </w:r>
          </w:p>
        </w:tc>
        <w:tc>
          <w:tcPr/>
          <w:p>
            <w:pPr>
              <w:pStyle w:val="Compact"/>
              <w:jc w:val="left"/>
            </w:pPr>
            <w:r>
              <w:rPr>
                <w:sz w:val="19"/>
              </w:rPr>
              <w:t xml:space="preserve">Blocked by attestation?</w:t>
            </w:r>
          </w:p>
        </w:tc>
      </w:tr>
      <w:tr>
        <w:tc>
          <w:tcPr/>
          <w:p>
            <w:pPr>
              <w:pStyle w:val="Compact"/>
              <w:jc w:val="left"/>
            </w:pPr>
            <w:r>
              <w:rPr>
                <w:sz w:val="19"/>
              </w:rPr>
              <w:t xml:space="preserve">A1</w:t>
            </w:r>
          </w:p>
        </w:tc>
        <w:tc>
          <w:tcPr/>
          <w:p>
            <w:pPr>
              <w:pStyle w:val="Compact"/>
              <w:jc w:val="left"/>
            </w:pPr>
            <w:r>
              <w:rPr>
                <w:sz w:val="19"/>
              </w:rPr>
              <w:t xml:space="preserve">Exact image reuse across projects</w:t>
            </w:r>
          </w:p>
        </w:tc>
        <w:tc>
          <w:tcPr/>
          <w:p>
            <w:pPr>
              <w:pStyle w:val="Compact"/>
              <w:jc w:val="left"/>
            </w:pPr>
            <w:r>
              <w:rPr>
                <w:sz w:val="19"/>
              </w:rPr>
              <w:t xml:space="preserve">Provenance</w:t>
            </w:r>
          </w:p>
        </w:tc>
        <w:tc>
          <w:tcPr/>
          <w:p>
            <w:pPr>
              <w:pStyle w:val="Compact"/>
              <w:jc w:val="left"/>
            </w:pPr>
            <w:r>
              <w:rPr>
                <w:sz w:val="19"/>
              </w:rPr>
              <w:t xml:space="preserve">Yes (nonce and signature)</w:t>
            </w:r>
          </w:p>
        </w:tc>
      </w:tr>
      <w:tr>
        <w:tc>
          <w:tcPr/>
          <w:p>
            <w:pPr>
              <w:pStyle w:val="Compact"/>
              <w:jc w:val="left"/>
            </w:pPr>
            <w:r>
              <w:rPr>
                <w:sz w:val="19"/>
              </w:rPr>
              <w:t xml:space="preserve">A2</w:t>
            </w:r>
          </w:p>
        </w:tc>
        <w:tc>
          <w:tcPr/>
          <w:p>
            <w:pPr>
              <w:pStyle w:val="Compact"/>
              <w:jc w:val="left"/>
            </w:pPr>
            <w:r>
              <w:rPr>
                <w:sz w:val="19"/>
              </w:rPr>
              <w:t xml:space="preserve">Near-duplicate reuse (crop, resize, filter)</w:t>
            </w:r>
          </w:p>
        </w:tc>
        <w:tc>
          <w:tcPr/>
          <w:p>
            <w:pPr>
              <w:pStyle w:val="Compact"/>
              <w:jc w:val="left"/>
            </w:pPr>
            <w:r>
              <w:rPr>
                <w:sz w:val="19"/>
              </w:rPr>
              <w:t xml:space="preserve">Provenance</w:t>
            </w:r>
          </w:p>
        </w:tc>
        <w:tc>
          <w:tcPr/>
          <w:p>
            <w:pPr>
              <w:pStyle w:val="Compact"/>
              <w:jc w:val="left"/>
            </w:pPr>
            <w:r>
              <w:rPr>
                <w:sz w:val="19"/>
              </w:rPr>
              <w:t xml:space="preserve">Yes</w:t>
            </w:r>
          </w:p>
        </w:tc>
      </w:tr>
      <w:tr>
        <w:tc>
          <w:tcPr/>
          <w:p>
            <w:pPr>
              <w:pStyle w:val="Compact"/>
              <w:jc w:val="left"/>
            </w:pPr>
            <w:r>
              <w:rPr>
                <w:sz w:val="19"/>
              </w:rPr>
              <w:t xml:space="preserve">A3</w:t>
            </w:r>
          </w:p>
        </w:tc>
        <w:tc>
          <w:tcPr/>
          <w:p>
            <w:pPr>
              <w:pStyle w:val="Compact"/>
              <w:jc w:val="left"/>
            </w:pPr>
            <w:r>
              <w:rPr>
                <w:sz w:val="19"/>
              </w:rPr>
              <w:t xml:space="preserve">Stock or web-sourced images</w:t>
            </w:r>
          </w:p>
        </w:tc>
        <w:tc>
          <w:tcPr/>
          <w:p>
            <w:pPr>
              <w:pStyle w:val="Compact"/>
              <w:jc w:val="left"/>
            </w:pPr>
            <w:r>
              <w:rPr>
                <w:sz w:val="19"/>
              </w:rPr>
              <w:t xml:space="preserve">Provenance</w:t>
            </w:r>
          </w:p>
        </w:tc>
        <w:tc>
          <w:tcPr/>
          <w:p>
            <w:pPr>
              <w:pStyle w:val="Compact"/>
              <w:jc w:val="left"/>
            </w:pPr>
            <w:r>
              <w:rPr>
                <w:sz w:val="19"/>
              </w:rPr>
              <w:t xml:space="preserve">Yes</w:t>
            </w:r>
          </w:p>
        </w:tc>
      </w:tr>
      <w:tr>
        <w:tc>
          <w:tcPr/>
          <w:p>
            <w:pPr>
              <w:pStyle w:val="Compact"/>
              <w:jc w:val="left"/>
            </w:pPr>
            <w:r>
              <w:rPr>
                <w:sz w:val="19"/>
              </w:rPr>
              <w:t xml:space="preserve">A4</w:t>
            </w:r>
          </w:p>
        </w:tc>
        <w:tc>
          <w:tcPr/>
          <w:p>
            <w:pPr>
              <w:pStyle w:val="Compact"/>
              <w:jc w:val="left"/>
            </w:pPr>
            <w:r>
              <w:rPr>
                <w:sz w:val="19"/>
              </w:rPr>
              <w:t xml:space="preserve">AI-generated</w:t>
            </w:r>
            <w:r>
              <w:rPr>
                <w:sz w:val="19"/>
              </w:rPr>
              <w:t xml:space="preserve"> </w:t>
            </w:r>
            <w:r>
              <w:rPr>
                <w:sz w:val="19"/>
              </w:rPr>
              <w:t xml:space="preserve">“</w:t>
            </w:r>
            <w:r>
              <w:rPr>
                <w:sz w:val="19"/>
              </w:rPr>
              <w:t xml:space="preserve">after</w:t>
            </w:r>
            <w:r>
              <w:rPr>
                <w:sz w:val="19"/>
              </w:rPr>
              <w:t xml:space="preserve">”</w:t>
            </w:r>
            <w:r>
              <w:rPr>
                <w:sz w:val="19"/>
              </w:rPr>
              <w:t xml:space="preserve"> </w:t>
            </w:r>
            <w:r>
              <w:rPr>
                <w:sz w:val="19"/>
              </w:rPr>
              <w:t xml:space="preserve">images uploaded as files</w:t>
            </w:r>
          </w:p>
        </w:tc>
        <w:tc>
          <w:tcPr/>
          <w:p>
            <w:pPr>
              <w:pStyle w:val="Compact"/>
              <w:jc w:val="left"/>
            </w:pPr>
            <w:r>
              <w:rPr>
                <w:sz w:val="19"/>
              </w:rPr>
              <w:t xml:space="preserve">Provenance</w:t>
            </w:r>
          </w:p>
        </w:tc>
        <w:tc>
          <w:tcPr/>
          <w:p>
            <w:pPr>
              <w:pStyle w:val="Compact"/>
              <w:jc w:val="left"/>
            </w:pPr>
            <w:r>
              <w:rPr>
                <w:sz w:val="19"/>
              </w:rPr>
              <w:t xml:space="preserve">Yes</w:t>
            </w:r>
          </w:p>
        </w:tc>
      </w:tr>
      <w:tr>
        <w:tc>
          <w:tcPr/>
          <w:p>
            <w:pPr>
              <w:pStyle w:val="Compact"/>
              <w:jc w:val="left"/>
            </w:pPr>
            <w:r>
              <w:rPr>
                <w:sz w:val="19"/>
              </w:rPr>
              <w:t xml:space="preserve">A5</w:t>
            </w:r>
          </w:p>
        </w:tc>
        <w:tc>
          <w:tcPr/>
          <w:p>
            <w:pPr>
              <w:pStyle w:val="Compact"/>
              <w:jc w:val="left"/>
            </w:pPr>
            <w:r>
              <w:rPr>
                <w:sz w:val="19"/>
              </w:rPr>
              <w:t xml:space="preserve">Before/after swap or implausible timeline</w:t>
            </w:r>
          </w:p>
        </w:tc>
        <w:tc>
          <w:tcPr/>
          <w:p>
            <w:pPr>
              <w:pStyle w:val="Compact"/>
              <w:jc w:val="left"/>
            </w:pPr>
            <w:r>
              <w:rPr>
                <w:sz w:val="19"/>
              </w:rPr>
              <w:t xml:space="preserve">Consistency</w:t>
            </w:r>
          </w:p>
        </w:tc>
        <w:tc>
          <w:tcPr/>
          <w:p>
            <w:pPr>
              <w:pStyle w:val="Compact"/>
              <w:jc w:val="left"/>
            </w:pPr>
            <w:r>
              <w:rPr>
                <w:sz w:val="19"/>
              </w:rPr>
              <w:t xml:space="preserve">Partly (timestamps)</w:t>
            </w:r>
          </w:p>
        </w:tc>
      </w:tr>
      <w:tr>
        <w:tc>
          <w:tcPr/>
          <w:p>
            <w:pPr>
              <w:pStyle w:val="Compact"/>
              <w:jc w:val="left"/>
            </w:pPr>
            <w:r>
              <w:rPr>
                <w:sz w:val="19"/>
              </w:rPr>
              <w:t xml:space="preserve">A6</w:t>
            </w:r>
          </w:p>
        </w:tc>
        <w:tc>
          <w:tcPr/>
          <w:p>
            <w:pPr>
              <w:pStyle w:val="Compact"/>
              <w:jc w:val="left"/>
            </w:pPr>
            <w:r>
              <w:rPr>
                <w:sz w:val="19"/>
              </w:rPr>
              <w:t xml:space="preserve">Location implausible for the claim</w:t>
            </w:r>
          </w:p>
        </w:tc>
        <w:tc>
          <w:tcPr/>
          <w:p>
            <w:pPr>
              <w:pStyle w:val="Compact"/>
              <w:jc w:val="left"/>
            </w:pPr>
            <w:r>
              <w:rPr>
                <w:sz w:val="19"/>
              </w:rPr>
              <w:t xml:space="preserve">Semantics</w:t>
            </w:r>
          </w:p>
        </w:tc>
        <w:tc>
          <w:tcPr/>
          <w:p>
            <w:pPr>
              <w:pStyle w:val="Compact"/>
              <w:jc w:val="left"/>
            </w:pPr>
            <w:r>
              <w:rPr>
                <w:sz w:val="19"/>
              </w:rPr>
              <w:t xml:space="preserve">Partly</w:t>
            </w:r>
          </w:p>
        </w:tc>
      </w:tr>
      <w:tr>
        <w:tc>
          <w:tcPr/>
          <w:p>
            <w:pPr>
              <w:pStyle w:val="Compact"/>
              <w:jc w:val="left"/>
            </w:pPr>
            <w:r>
              <w:rPr>
                <w:sz w:val="19"/>
              </w:rPr>
              <w:t xml:space="preserve">A7</w:t>
            </w:r>
          </w:p>
        </w:tc>
        <w:tc>
          <w:tcPr/>
          <w:p>
            <w:pPr>
              <w:pStyle w:val="Compact"/>
              <w:jc w:val="left"/>
            </w:pPr>
            <w:r>
              <w:rPr>
                <w:sz w:val="19"/>
              </w:rPr>
              <w:t xml:space="preserve">Tree count inconsistent with area (impossible density)</w:t>
            </w:r>
          </w:p>
        </w:tc>
        <w:tc>
          <w:tcPr/>
          <w:p>
            <w:pPr>
              <w:pStyle w:val="Compact"/>
              <w:jc w:val="left"/>
            </w:pPr>
            <w:r>
              <w:rPr>
                <w:sz w:val="19"/>
              </w:rPr>
              <w:t xml:space="preserve">Consistency</w:t>
            </w:r>
          </w:p>
        </w:tc>
        <w:tc>
          <w:tcPr/>
          <w:p>
            <w:pPr>
              <w:pStyle w:val="Compact"/>
              <w:jc w:val="left"/>
            </w:pPr>
            <w:r>
              <w:rPr>
                <w:sz w:val="19"/>
              </w:rPr>
              <w:t xml:space="preserve">No</w:t>
            </w:r>
          </w:p>
        </w:tc>
      </w:tr>
      <w:tr>
        <w:tc>
          <w:tcPr/>
          <w:p>
            <w:pPr>
              <w:pStyle w:val="Compact"/>
              <w:jc w:val="left"/>
            </w:pPr>
            <w:r>
              <w:rPr>
                <w:sz w:val="19"/>
              </w:rPr>
              <w:t xml:space="preserve">A8</w:t>
            </w:r>
          </w:p>
        </w:tc>
        <w:tc>
          <w:tcPr/>
          <w:p>
            <w:pPr>
              <w:pStyle w:val="Compact"/>
              <w:jc w:val="left"/>
            </w:pPr>
            <w:r>
              <w:rPr>
                <w:sz w:val="19"/>
              </w:rPr>
              <w:t xml:space="preserve">Species unsuitable for the region</w:t>
            </w:r>
          </w:p>
        </w:tc>
        <w:tc>
          <w:tcPr/>
          <w:p>
            <w:pPr>
              <w:pStyle w:val="Compact"/>
              <w:jc w:val="left"/>
            </w:pPr>
            <w:r>
              <w:rPr>
                <w:sz w:val="19"/>
              </w:rPr>
              <w:t xml:space="preserve">Semantics</w:t>
            </w:r>
          </w:p>
        </w:tc>
        <w:tc>
          <w:tcPr/>
          <w:p>
            <w:pPr>
              <w:pStyle w:val="Compact"/>
              <w:jc w:val="left"/>
            </w:pPr>
            <w:r>
              <w:rPr>
                <w:sz w:val="19"/>
              </w:rPr>
              <w:t xml:space="preserve">No</w:t>
            </w:r>
          </w:p>
        </w:tc>
      </w:tr>
      <w:tr>
        <w:tc>
          <w:tcPr/>
          <w:p>
            <w:pPr>
              <w:pStyle w:val="Compact"/>
              <w:jc w:val="left"/>
            </w:pPr>
            <w:r>
              <w:rPr>
                <w:sz w:val="19"/>
              </w:rPr>
              <w:t xml:space="preserve">A9</w:t>
            </w:r>
          </w:p>
        </w:tc>
        <w:tc>
          <w:tcPr/>
          <w:p>
            <w:pPr>
              <w:pStyle w:val="Compact"/>
              <w:jc w:val="left"/>
            </w:pPr>
            <w:r>
              <w:rPr>
                <w:sz w:val="19"/>
              </w:rPr>
              <w:t xml:space="preserve">Altered ownership or organisation document</w:t>
            </w:r>
          </w:p>
        </w:tc>
        <w:tc>
          <w:tcPr/>
          <w:p>
            <w:pPr>
              <w:pStyle w:val="Compact"/>
              <w:jc w:val="left"/>
            </w:pPr>
            <w:r>
              <w:rPr>
                <w:sz w:val="19"/>
              </w:rPr>
              <w:t xml:space="preserve">Semantics</w:t>
            </w:r>
          </w:p>
        </w:tc>
        <w:tc>
          <w:tcPr/>
          <w:p>
            <w:pPr>
              <w:pStyle w:val="Compact"/>
              <w:jc w:val="left"/>
            </w:pPr>
            <w:r>
              <w:rPr>
                <w:sz w:val="19"/>
              </w:rPr>
              <w:t xml:space="preserve">No</w:t>
            </w:r>
          </w:p>
        </w:tc>
      </w:tr>
      <w:tr>
        <w:tc>
          <w:tcPr/>
          <w:p>
            <w:pPr>
              <w:pStyle w:val="Compact"/>
              <w:jc w:val="left"/>
            </w:pPr>
            <w:r>
              <w:rPr>
                <w:sz w:val="19"/>
              </w:rPr>
              <w:t xml:space="preserve">A10</w:t>
            </w:r>
          </w:p>
        </w:tc>
        <w:tc>
          <w:tcPr/>
          <w:p>
            <w:pPr>
              <w:pStyle w:val="Compact"/>
              <w:jc w:val="left"/>
            </w:pPr>
            <w:r>
              <w:rPr>
                <w:sz w:val="19"/>
              </w:rPr>
              <w:t xml:space="preserve">Prompt injection through document text</w:t>
            </w:r>
          </w:p>
        </w:tc>
        <w:tc>
          <w:tcPr/>
          <w:p>
            <w:pPr>
              <w:pStyle w:val="Compact"/>
              <w:jc w:val="left"/>
            </w:pPr>
            <w:r>
              <w:rPr>
                <w:sz w:val="19"/>
              </w:rPr>
              <w:t xml:space="preserve">Model</w:t>
            </w:r>
          </w:p>
        </w:tc>
        <w:tc>
          <w:tcPr/>
          <w:p>
            <w:pPr>
              <w:pStyle w:val="Compact"/>
              <w:jc w:val="left"/>
            </w:pPr>
            <w:r>
              <w:rPr>
                <w:sz w:val="19"/>
              </w:rPr>
              <w:t xml:space="preserve">No</w:t>
            </w:r>
          </w:p>
        </w:tc>
      </w:tr>
      <w:tr>
        <w:tc>
          <w:tcPr/>
          <w:p>
            <w:pPr>
              <w:pStyle w:val="Compact"/>
              <w:jc w:val="left"/>
            </w:pPr>
            <w:r>
              <w:rPr>
                <w:sz w:val="19"/>
              </w:rPr>
              <w:t xml:space="preserve">A11</w:t>
            </w:r>
          </w:p>
        </w:tc>
        <w:tc>
          <w:tcPr/>
          <w:p>
            <w:pPr>
              <w:pStyle w:val="Compact"/>
              <w:jc w:val="left"/>
            </w:pPr>
            <w:r>
              <w:rPr>
                <w:sz w:val="19"/>
              </w:rPr>
              <w:t xml:space="preserve">Prompt injection through text overlaid on an image</w:t>
            </w:r>
          </w:p>
        </w:tc>
        <w:tc>
          <w:tcPr/>
          <w:p>
            <w:pPr>
              <w:pStyle w:val="Compact"/>
              <w:jc w:val="left"/>
            </w:pPr>
            <w:r>
              <w:rPr>
                <w:sz w:val="19"/>
              </w:rPr>
              <w:t xml:space="preserve">Model</w:t>
            </w:r>
          </w:p>
        </w:tc>
        <w:tc>
          <w:tcPr/>
          <w:p>
            <w:pPr>
              <w:pStyle w:val="Compact"/>
              <w:jc w:val="left"/>
            </w:pPr>
            <w:r>
              <w:rPr>
                <w:sz w:val="19"/>
              </w:rPr>
              <w:t xml:space="preserve">No</w:t>
            </w:r>
          </w:p>
        </w:tc>
      </w:tr>
      <w:tr>
        <w:tc>
          <w:tcPr/>
          <w:p>
            <w:pPr>
              <w:pStyle w:val="Compact"/>
              <w:jc w:val="left"/>
            </w:pPr>
            <w:r>
              <w:rPr>
                <w:sz w:val="19"/>
              </w:rPr>
              <w:t xml:space="preserve">A12</w:t>
            </w:r>
          </w:p>
        </w:tc>
        <w:tc>
          <w:tcPr/>
          <w:p>
            <w:pPr>
              <w:pStyle w:val="Compact"/>
              <w:jc w:val="left"/>
            </w:pPr>
            <w:r>
              <w:rPr>
                <w:sz w:val="19"/>
              </w:rPr>
              <w:t xml:space="preserve">Duplicate parcel or double registration</w:t>
            </w:r>
          </w:p>
        </w:tc>
        <w:tc>
          <w:tcPr/>
          <w:p>
            <w:pPr>
              <w:pStyle w:val="Compact"/>
              <w:jc w:val="left"/>
            </w:pPr>
            <w:r>
              <w:rPr>
                <w:sz w:val="19"/>
              </w:rPr>
              <w:t xml:space="preserve">Registry</w:t>
            </w:r>
          </w:p>
        </w:tc>
        <w:tc>
          <w:tcPr/>
          <w:p>
            <w:pPr>
              <w:pStyle w:val="Compact"/>
              <w:jc w:val="left"/>
            </w:pPr>
            <w:r>
              <w:rPr>
                <w:sz w:val="19"/>
              </w:rPr>
              <w:t xml:space="preserve">No (registry check)</w:t>
            </w:r>
          </w:p>
        </w:tc>
      </w:tr>
      <w:tr>
        <w:tc>
          <w:tcPr/>
          <w:p>
            <w:pPr>
              <w:pStyle w:val="Compact"/>
              <w:jc w:val="left"/>
            </w:pPr>
            <w:r>
              <w:rPr>
                <w:sz w:val="19"/>
              </w:rPr>
              <w:t xml:space="preserve">A13</w:t>
            </w:r>
          </w:p>
        </w:tc>
        <w:tc>
          <w:tcPr/>
          <w:p>
            <w:pPr>
              <w:pStyle w:val="Compact"/>
              <w:jc w:val="left"/>
            </w:pPr>
            <w:r>
              <w:rPr>
                <w:sz w:val="19"/>
              </w:rPr>
              <w:t xml:space="preserve">Screen recapture (photo of a displayed image)</w:t>
            </w:r>
          </w:p>
        </w:tc>
        <w:tc>
          <w:tcPr/>
          <w:p>
            <w:pPr>
              <w:pStyle w:val="Compact"/>
              <w:jc w:val="left"/>
            </w:pPr>
            <w:r>
              <w:rPr>
                <w:sz w:val="19"/>
              </w:rPr>
              <w:t xml:space="preserve">Provenance</w:t>
            </w:r>
          </w:p>
        </w:tc>
        <w:tc>
          <w:tcPr/>
          <w:p>
            <w:pPr>
              <w:pStyle w:val="Compact"/>
              <w:jc w:val="left"/>
            </w:pPr>
            <w:r>
              <w:rPr>
                <w:bCs/>
                <w:b/>
                <w:sz w:val="19"/>
              </w:rPr>
              <w:t xml:space="preserve">No</w:t>
            </w:r>
          </w:p>
        </w:tc>
      </w:tr>
      <w:tr>
        <w:tc>
          <w:tcPr/>
          <w:p>
            <w:pPr>
              <w:pStyle w:val="Compact"/>
              <w:jc w:val="left"/>
            </w:pPr>
            <w:r>
              <w:rPr>
                <w:sz w:val="19"/>
              </w:rPr>
              <w:t xml:space="preserve">A14</w:t>
            </w:r>
          </w:p>
        </w:tc>
        <w:tc>
          <w:tcPr/>
          <w:p>
            <w:pPr>
              <w:pStyle w:val="Compact"/>
              <w:jc w:val="left"/>
            </w:pPr>
            <w:r>
              <w:rPr>
                <w:sz w:val="19"/>
              </w:rPr>
              <w:t xml:space="preserve">Mock GPS on the capture device</w:t>
            </w:r>
          </w:p>
        </w:tc>
        <w:tc>
          <w:tcPr/>
          <w:p>
            <w:pPr>
              <w:pStyle w:val="Compact"/>
              <w:jc w:val="left"/>
            </w:pPr>
            <w:r>
              <w:rPr>
                <w:sz w:val="19"/>
              </w:rPr>
              <w:t xml:space="preserve">Provenance</w:t>
            </w:r>
          </w:p>
        </w:tc>
        <w:tc>
          <w:tcPr/>
          <w:p>
            <w:pPr>
              <w:pStyle w:val="Compact"/>
              <w:jc w:val="left"/>
            </w:pPr>
            <w:r>
              <w:rPr>
                <w:bCs/>
                <w:b/>
                <w:sz w:val="19"/>
              </w:rPr>
              <w:t xml:space="preserve">No</w:t>
            </w:r>
          </w:p>
        </w:tc>
      </w:tr>
    </w:tbl>
    <w:p>
      <w:pPr>
        <w:pStyle w:val="BodyText"/>
      </w:pPr>
      <w:r>
        <w:t xml:space="preserve">A13 and A14 are the attacks that survive software-only attestation. They are included deliberately, because they show where provenance ends and content analysis must continue.</w:t>
      </w:r>
    </w:p>
    <w:bookmarkEnd w:id="23"/>
    <w:bookmarkStart w:id="30" w:name="iv.-system-design"/>
    <w:p>
      <w:pPr>
        <w:pStyle w:val="Heading1"/>
      </w:pPr>
      <w:r>
        <w:t xml:space="preserve">IV. System Design</w:t>
      </w:r>
    </w:p>
    <w:bookmarkStart w:id="24" w:name="a.-overview"/>
    <w:p>
      <w:pPr>
        <w:pStyle w:val="Heading2"/>
      </w:pPr>
      <w:r>
        <w:t xml:space="preserve">A. Overview</w:t>
      </w:r>
    </w:p>
    <w:p>
      <w:pPr>
        <w:pStyle w:val="FirstParagraph"/>
      </w:pPr>
      <w:r>
        <w:t xml:space="preserve">Sundarban has five layers: (1) contributor mobile and web clients; (2) an evidence service performing ingestion, normalisation and caching; (3) a verifier service running the agent pipeline and returning a structured report; (4) an administrator interface where a human decides; and (5) a blockchain layer with an ERC-20 credit token [14], a project registry and an escrow marketplace. A document database holds operational records, and object storage holds the original files. Only hashes and commitments go on-chain.</w:t>
      </w:r>
    </w:p>
    <w:bookmarkEnd w:id="24"/>
    <w:bookmarkStart w:id="25" w:name="b.-capture-time-attestation"/>
    <w:p>
      <w:pPr>
        <w:pStyle w:val="Heading2"/>
      </w:pPr>
      <w:r>
        <w:t xml:space="preserve">B. Capture-time attestation</w:t>
      </w:r>
    </w:p>
    <w:p>
      <w:pPr>
        <w:pStyle w:val="FirstParagraph"/>
      </w:pPr>
      <w:r>
        <w:t xml:space="preserve">The mobile app generates a non-exportable signing key pair in the platform’s secure key storage at enrolment and registers the public key against the contributor’s account (trust on first use). For each photograph:</w:t>
      </w:r>
    </w:p>
    <w:p>
      <w:pPr>
        <w:numPr>
          <w:ilvl w:val="0"/>
          <w:numId w:val="1002"/>
        </w:numPr>
        <w:pStyle w:val="Compact"/>
      </w:pPr>
      <w:r>
        <w:t xml:space="preserve">The server issues a single-use nonce N bound to the project and session, valid for a short window.</w:t>
      </w:r>
    </w:p>
    <w:p>
      <w:pPr>
        <w:numPr>
          <w:ilvl w:val="0"/>
          <w:numId w:val="1002"/>
        </w:numPr>
        <w:pStyle w:val="Compact"/>
      </w:pPr>
      <w:r>
        <w:t xml:space="preserve">The photograph is captured through the in-app camera only; gallery uploads are not accepted for attested evidence.</w:t>
      </w:r>
    </w:p>
    <w:p>
      <w:pPr>
        <w:numPr>
          <w:ilvl w:val="0"/>
          <w:numId w:val="1002"/>
        </w:numPr>
        <w:pStyle w:val="Compact"/>
      </w:pPr>
      <w:r>
        <w:t xml:space="preserve">The app computes h = SHA-256(image bytes) and a metadata record m = (latitude, longitude, accuracy, capture time, device identifier, project identifier, N).</w:t>
      </w:r>
    </w:p>
    <w:p>
      <w:pPr>
        <w:numPr>
          <w:ilvl w:val="0"/>
          <w:numId w:val="1002"/>
        </w:numPr>
        <w:pStyle w:val="Compact"/>
      </w:pPr>
      <w:r>
        <w:t xml:space="preserve">The app signs s = Sign(sk, h || SHA-256(m)) and uploads the image, m and s.</w:t>
      </w:r>
    </w:p>
    <w:p>
      <w:pPr>
        <w:numPr>
          <w:ilvl w:val="0"/>
          <w:numId w:val="1002"/>
        </w:numPr>
        <w:pStyle w:val="Compact"/>
      </w:pPr>
      <w:r>
        <w:t xml:space="preserve">The server verifies the signature against the registered public key, checks that N is fresh and unused, checks that the location lies within a configured radius of the declared parcel, and rejects the item otherwise.</w:t>
      </w:r>
    </w:p>
    <w:p>
      <w:pPr>
        <w:numPr>
          <w:ilvl w:val="0"/>
          <w:numId w:val="1002"/>
        </w:numPr>
        <w:pStyle w:val="Compact"/>
      </w:pPr>
      <w:r>
        <w:t xml:space="preserve">Each accepted item yields a leaf L = SHA-256(h || SHA-256(m) || s).</w:t>
      </w:r>
    </w:p>
    <w:p>
      <w:pPr>
        <w:pStyle w:val="FirstParagraph"/>
      </w:pPr>
      <w:r>
        <w:t xml:space="preserve">The set of leaves for a project forms a Merkle tree [10]. Its root R is committed on-chain with the parcel commitment and report hash (Section IV-F). Any single photograph can later be proved part of an approved project by presenting its leaf and Merkle path.</w:t>
      </w:r>
    </w:p>
    <w:p>
      <w:pPr>
        <w:pStyle w:val="BodyText"/>
      </w:pPr>
      <w:r>
        <w:t xml:space="preserve">This scheme does not stop a photograph of a screen (A13), a device with mock-location enabled (A14), or a compromised device. Hardware-backed key attestation and integrity services can narrow these gaps and are future work. The scheme is evaluated as a measurable defense with stated limits, not as a guarantee.</w:t>
      </w:r>
    </w:p>
    <w:bookmarkEnd w:id="25"/>
    <w:bookmarkStart w:id="26" w:name="X7d9a9f7a2bf0de895365713e454c28a37989822"/>
    <w:p>
      <w:pPr>
        <w:pStyle w:val="Heading2"/>
      </w:pPr>
      <w:r>
        <w:t xml:space="preserve">C. Evidence ingestion and content-addressed caching</w:t>
      </w:r>
    </w:p>
    <w:p>
      <w:pPr>
        <w:pStyle w:val="FirstParagraph"/>
      </w:pPr>
      <w:r>
        <w:t xml:space="preserve">On upload, EXIF metadata is read before any re-encoding. Images are normalised to JPEG with the long edge limited to 1600 pixels, to bound model cost and latency. Each file receives a SHA-256 digest for exact matching and a perceptual hash for near-duplicate matching. Originals are stored in object storage, and records keep only references and digests.</w:t>
      </w:r>
    </w:p>
    <w:p>
      <w:pPr>
        <w:pStyle w:val="BodyText"/>
      </w:pPr>
      <w:r>
        <w:t xml:space="preserve">Agent results are cached under the key (SHA-256 of evidence, agent identifier, prompt version, model version). Identical evidence analysed by the same agent version never triggers a second model call. A project is re-analysed only when its Merkle root changes. Reports are stored with their versions, and each report hash is anchored on-chain, so a cached report is tamper-evident.</w:t>
      </w:r>
    </w:p>
    <w:bookmarkEnd w:id="26"/>
    <w:bookmarkStart w:id="27" w:name="d.-verifier-configurations"/>
    <w:p>
      <w:pPr>
        <w:pStyle w:val="Heading2"/>
      </w:pPr>
      <w:r>
        <w:t xml:space="preserve">D. Verifier configurations</w:t>
      </w:r>
    </w:p>
    <w:p>
      <w:pPr>
        <w:numPr>
          <w:ilvl w:val="0"/>
          <w:numId w:val="1003"/>
        </w:numPr>
        <w:pStyle w:val="Compact"/>
      </w:pPr>
      <w:r>
        <w:rPr>
          <w:bCs/>
          <w:b/>
        </w:rPr>
        <w:t xml:space="preserve">C0, rules only:</w:t>
      </w:r>
      <w:r>
        <w:t xml:space="preserve"> </w:t>
      </w:r>
      <w:r>
        <w:t xml:space="preserve">deterministic checks (hash and perceptual-hash duplicates, EXIF and GPS sanity, density and area bounds, document field matching).</w:t>
      </w:r>
    </w:p>
    <w:p>
      <w:pPr>
        <w:numPr>
          <w:ilvl w:val="0"/>
          <w:numId w:val="1003"/>
        </w:numPr>
        <w:pStyle w:val="Compact"/>
      </w:pPr>
      <w:r>
        <w:rPr>
          <w:bCs/>
          <w:b/>
        </w:rPr>
        <w:t xml:space="preserve">C1, single prompt:</w:t>
      </w:r>
      <w:r>
        <w:t xml:space="preserve"> </w:t>
      </w:r>
      <w:r>
        <w:t xml:space="preserve">one multimodal LLM call receives all evidence and returns a structured judgement.</w:t>
      </w:r>
    </w:p>
    <w:p>
      <w:pPr>
        <w:numPr>
          <w:ilvl w:val="0"/>
          <w:numId w:val="1003"/>
        </w:numPr>
        <w:pStyle w:val="Compact"/>
      </w:pPr>
      <w:r>
        <w:rPr>
          <w:bCs/>
          <w:b/>
        </w:rPr>
        <w:t xml:space="preserve">C2, homogeneous consensus:</w:t>
      </w:r>
      <w:r>
        <w:t xml:space="preserve"> </w:t>
      </w:r>
      <w:r>
        <w:t xml:space="preserve">k = 3 independent calls of the same model family as C1 with a majority rule. This mirrors the consensus-of-models idea in [1] at the level of agreement among models.</w:t>
      </w:r>
    </w:p>
    <w:p>
      <w:pPr>
        <w:numPr>
          <w:ilvl w:val="0"/>
          <w:numId w:val="1003"/>
        </w:numPr>
        <w:pStyle w:val="Compact"/>
      </w:pPr>
      <w:r>
        <w:rPr>
          <w:bCs/>
          <w:b/>
        </w:rPr>
        <w:t xml:space="preserve">C3, specialist multi-agent:</w:t>
      </w:r>
      <w:r>
        <w:t xml:space="preserve"> </w:t>
      </w:r>
      <w:r>
        <w:t xml:space="preserve">separate agents for image forensics, vegetation change, geospatial plausibility and documents, followed by a consistency and risk aggregator.</w:t>
      </w:r>
    </w:p>
    <w:p>
      <w:pPr>
        <w:numPr>
          <w:ilvl w:val="0"/>
          <w:numId w:val="1003"/>
        </w:numPr>
        <w:pStyle w:val="Compact"/>
      </w:pPr>
      <w:r>
        <w:rPr>
          <w:bCs/>
          <w:b/>
        </w:rPr>
        <w:t xml:space="preserve">C4, specialist agents with tools:</w:t>
      </w:r>
      <w:r>
        <w:t xml:space="preserve"> </w:t>
      </w:r>
      <w:r>
        <w:t xml:space="preserve">C3 plus deterministic tools (hash comparison, EXIF extraction, geocoding and land-cover lookup, optional Sentinel-2 vegetation index [13]).</w:t>
      </w:r>
    </w:p>
    <w:p>
      <w:pPr>
        <w:pStyle w:val="FirstParagraph"/>
      </w:pPr>
      <w:r>
        <w:t xml:space="preserve">Each of C1 to C4 can be combined with attestation (denoted +A), in which unattested or invalid evidence is rejected or flagged before model review. All agents return JSON that conforms to a fixed schema (Appendix A) at temperature 0.</w:t>
      </w:r>
    </w:p>
    <w:bookmarkEnd w:id="27"/>
    <w:bookmarkStart w:id="28" w:name="e.-quantification-and-risk-routing"/>
    <w:p>
      <w:pPr>
        <w:pStyle w:val="Heading2"/>
      </w:pPr>
      <w:r>
        <w:t xml:space="preserve">E. Quantification and risk routing</w:t>
      </w:r>
    </w:p>
    <w:p>
      <w:pPr>
        <w:pStyle w:val="FirstParagraph"/>
      </w:pPr>
      <w:r>
        <w:t xml:space="preserve">Credits are computed by a deterministic calculator: trees × survival rate × species growth factor × years, converted to CO2e using a stated carbon fraction, then reduced by an uncertainty discount and a buffer-pool deduction that reserves a share against future tree loss. Default factors are drawn from IPCC guidance [12] and are parameters, not claims of certification. The aggregator maps the report to a risk class (low, medium, high) that determines the review path. Thresholds are selected on a development split of the benchmark. The administrator retains final authority.</w:t>
      </w:r>
    </w:p>
    <w:bookmarkEnd w:id="28"/>
    <w:bookmarkStart w:id="29" w:name="f.-on-chain-registry-and-marketplace"/>
    <w:p>
      <w:pPr>
        <w:pStyle w:val="Heading2"/>
      </w:pPr>
      <w:r>
        <w:t xml:space="preserve">F. On-chain registry and marketplace</w:t>
      </w:r>
    </w:p>
    <w:p>
      <w:pPr>
        <w:pStyle w:val="FirstParagraph"/>
      </w:pPr>
      <w:r>
        <w:t xml:space="preserve">The registry contract stores, for each project, a bytes32 data hash (rejecting duplicates), the evidence Merkle root, a parcel commitment (hash of normalised boundary coordinates and area, rejecting a second project on the same parcel), the verification report hash, and the credit amount. Issuance is restricted by role. A retire function burns tokens so that a credit cannot be claimed twice. An escrow marketplace contract supports list, buy and cancel so that payment and token transfer are atomic. Contracts are tested with a standard development framework and analysed with a static analyser [15]; gas is measured per operation. Database writes follow a pending, submitted, confirmed, failed state machine with reconciliation, to handle the case in which a chain transaction succeeds and the database update fails.</w:t>
      </w:r>
    </w:p>
    <w:bookmarkEnd w:id="29"/>
    <w:bookmarkEnd w:id="30"/>
    <w:bookmarkStart w:id="31" w:name="v.-sundarban-bench"/>
    <w:p>
      <w:pPr>
        <w:pStyle w:val="Heading1"/>
      </w:pPr>
      <w:r>
        <w:t xml:space="preserve">V. Sundarban-Bench</w:t>
      </w:r>
    </w:p>
    <w:p>
      <w:pPr>
        <w:pStyle w:val="FirstParagraph"/>
      </w:pPr>
      <w:r>
        <w:rPr>
          <w:bCs/>
          <w:b/>
        </w:rPr>
        <w:t xml:space="preserve">Design principle.</w:t>
      </w:r>
      <w:r>
        <w:t xml:space="preserve"> </w:t>
      </w:r>
      <w:r>
        <w:t xml:space="preserve">Ground truth is known by construction: each submission is either assembled as a consistent legitimate project or derived from one by applying exactly one attack from Table 1. No real contributor data is used.</w:t>
      </w:r>
    </w:p>
    <w:p>
      <w:pPr>
        <w:pStyle w:val="BodyText"/>
      </w:pPr>
      <w:r>
        <w:rPr>
          <w:bCs/>
          <w:b/>
        </w:rPr>
        <w:t xml:space="preserve">Legitimate submissions.</w:t>
      </w:r>
      <w:r>
        <w:t xml:space="preserve"> </w:t>
      </w:r>
      <w:r>
        <w:t xml:space="preserve">Each legitimate project consists of a form (region, species, tree count, area, description), a before and an after photograph, location and time metadata, and an ownership document. Photographs are drawn from openly licensed images of planting sites and saplings, and before/after pairs are assembled so that the after image shows credible growth. Where suitable open pairs are scarce, pairs generated with an image model are used and are labelled as synthetic in the dataset metadata, and the effect of this choice is reported (Section VIII). Documents are generated from templates with fictitious names and identifiers. Forms are sampled from species and region combinations that are agronomically plausible and from density ranges that are physically feasible.</w:t>
      </w:r>
    </w:p>
    <w:p>
      <w:pPr>
        <w:pStyle w:val="BodyText"/>
      </w:pPr>
      <w:r>
        <w:rPr>
          <w:bCs/>
          <w:b/>
        </w:rPr>
        <w:t xml:space="preserve">Attack injection.</w:t>
      </w:r>
      <w:r>
        <w:t xml:space="preserve"> </w:t>
      </w:r>
      <w:r>
        <w:t xml:space="preserve">For each class A1 to A14, a fixed number of attack submissions is derived programmatically: reusing or editing earlier images (A1, A2), substituting web or stock images (A3), generating after-images with an image model (A4), swapping or reordering before/after (A5), moving coordinates to implausible land cover (A6), inflating tree count relative to area (A7), pairing species with unsuitable regions (A8), altering document fields (A9), inserting instruction text into documents and into images (A10, A11), registering a second project on an existing parcel (A12), photographing a screen displaying an image (A13), and supplying mock coordinates on the capture device (A14). A13 and A14 are produced with a controlled capture setup on test devices so that they pass the attested capture path.</w:t>
      </w:r>
    </w:p>
    <w:p>
      <w:pPr>
        <w:pStyle w:val="BodyText"/>
      </w:pPr>
      <w:r>
        <w:rPr>
          <w:bCs/>
          <w:b/>
        </w:rPr>
        <w:t xml:space="preserve">Size and splits (planned).</w:t>
      </w:r>
      <w:r>
        <w:t xml:space="preserve"> </w:t>
      </w:r>
      <w:r>
        <w:t xml:space="preserve">Approximately 120 legitimate and 180 attack submissions (about 13 per class), with a development split used only to choose risk thresholds and prompts, and a held-out test split used for all reported numbers. Attack classes are balanced across splits. [TBD: final counts].</w:t>
      </w:r>
    </w:p>
    <w:p>
      <w:pPr>
        <w:pStyle w:val="BodyText"/>
      </w:pPr>
      <w:r>
        <w:rPr>
          <w:bCs/>
          <w:b/>
        </w:rPr>
        <w:t xml:space="preserve">Release.</w:t>
      </w:r>
      <w:r>
        <w:t xml:space="preserve"> </w:t>
      </w:r>
      <w:r>
        <w:t xml:space="preserve">The benchmark generator, the labelled dataset where licences allow, and the evaluation scripts are released. The released attacks are generic and rely on well-known techniques, which limits misuse risk; the ethics discussion is in Section VIII.</w:t>
      </w:r>
    </w:p>
    <w:bookmarkEnd w:id="31"/>
    <w:bookmarkStart w:id="32" w:name="vi.-experimental-setup"/>
    <w:p>
      <w:pPr>
        <w:pStyle w:val="Heading1"/>
      </w:pPr>
      <w:r>
        <w:t xml:space="preserve">VI. Experimental Setup</w:t>
      </w:r>
    </w:p>
    <w:p>
      <w:pPr>
        <w:pStyle w:val="FirstParagraph"/>
      </w:pPr>
      <w:r>
        <w:rPr>
          <w:bCs/>
          <w:b/>
        </w:rPr>
        <w:t xml:space="preserve">Models and determinism.</w:t>
      </w:r>
      <w:r>
        <w:t xml:space="preserve"> </w:t>
      </w:r>
      <w:r>
        <w:t xml:space="preserve">All LLM calls use a single named multimodal model family, with the exact model identifier and date recorded [TBD], temperature 0, and a fixed JSON output schema (Appendix A). Each configuration is run three times on every submission to measure run-to-run variation. Prompts are frozen after the development split and versioned.</w:t>
      </w:r>
    </w:p>
    <w:p>
      <w:pPr>
        <w:pStyle w:val="BodyText"/>
      </w:pPr>
      <w:r>
        <w:rPr>
          <w:bCs/>
          <w:b/>
        </w:rPr>
        <w:t xml:space="preserve">Configurations.</w:t>
      </w:r>
      <w:r>
        <w:t xml:space="preserve"> </w:t>
      </w:r>
      <w:r>
        <w:t xml:space="preserve">C0 to C4 as in Section IV-D, each with and without attestation (+A) where applicable. For C2, the three samples use identical prompts and differ only by sampling. Because C2 uses a single model family, its agreement measures consensus within that family; a heterogeneous-family variant is listed as future work.</w:t>
      </w:r>
    </w:p>
    <w:p>
      <w:pPr>
        <w:pStyle w:val="BodyText"/>
      </w:pPr>
      <w:r>
        <w:rPr>
          <w:bCs/>
          <w:b/>
        </w:rPr>
        <w:t xml:space="preserve">Metrics.</w:t>
      </w:r>
    </w:p>
    <w:p>
      <w:pPr>
        <w:numPr>
          <w:ilvl w:val="0"/>
          <w:numId w:val="1004"/>
        </w:numPr>
        <w:pStyle w:val="Compact"/>
      </w:pPr>
      <w:r>
        <w:rPr>
          <w:bCs/>
          <w:b/>
        </w:rPr>
        <w:t xml:space="preserve">Attack success rate (ASR):</w:t>
      </w:r>
      <w:r>
        <w:t xml:space="preserve"> </w:t>
      </w:r>
      <w:r>
        <w:t xml:space="preserve">share of attack submissions the pipeline would approve or recommend for approval. Lower is better. Reported per class and overall.</w:t>
      </w:r>
    </w:p>
    <w:p>
      <w:pPr>
        <w:numPr>
          <w:ilvl w:val="0"/>
          <w:numId w:val="1004"/>
        </w:numPr>
        <w:pStyle w:val="Compact"/>
      </w:pPr>
      <w:r>
        <w:rPr>
          <w:bCs/>
          <w:b/>
        </w:rPr>
        <w:t xml:space="preserve">False-rejection rate (FRR):</w:t>
      </w:r>
      <w:r>
        <w:t xml:space="preserve"> </w:t>
      </w:r>
      <w:r>
        <w:t xml:space="preserve">share of legitimate submissions rejected or escalated to high risk. Lower is better.</w:t>
      </w:r>
    </w:p>
    <w:p>
      <w:pPr>
        <w:numPr>
          <w:ilvl w:val="0"/>
          <w:numId w:val="1004"/>
        </w:numPr>
        <w:pStyle w:val="Compact"/>
      </w:pPr>
      <w:r>
        <w:rPr>
          <w:bCs/>
          <w:b/>
        </w:rPr>
        <w:t xml:space="preserve">Precision, recall and F1</w:t>
      </w:r>
      <w:r>
        <w:t xml:space="preserve"> </w:t>
      </w:r>
      <w:r>
        <w:t xml:space="preserve">for the</w:t>
      </w:r>
      <w:r>
        <w:t xml:space="preserve"> </w:t>
      </w:r>
      <w:r>
        <w:t xml:space="preserve">“</w:t>
      </w:r>
      <w:r>
        <w:t xml:space="preserve">flag as suspicious</w:t>
      </w:r>
      <w:r>
        <w:t xml:space="preserve">”</w:t>
      </w:r>
      <w:r>
        <w:t xml:space="preserve"> </w:t>
      </w:r>
      <w:r>
        <w:t xml:space="preserve">decision.</w:t>
      </w:r>
    </w:p>
    <w:p>
      <w:pPr>
        <w:numPr>
          <w:ilvl w:val="0"/>
          <w:numId w:val="1004"/>
        </w:numPr>
        <w:pStyle w:val="Compact"/>
      </w:pPr>
      <w:r>
        <w:rPr>
          <w:bCs/>
          <w:b/>
        </w:rPr>
        <w:t xml:space="preserve">Run-to-run agreement:</w:t>
      </w:r>
      <w:r>
        <w:t xml:space="preserve"> </w:t>
      </w:r>
      <w:r>
        <w:t xml:space="preserve">share of submissions with identical decisions across the three runs.</w:t>
      </w:r>
    </w:p>
    <w:p>
      <w:pPr>
        <w:numPr>
          <w:ilvl w:val="0"/>
          <w:numId w:val="1004"/>
        </w:numPr>
        <w:pStyle w:val="Compact"/>
      </w:pPr>
      <w:r>
        <w:rPr>
          <w:bCs/>
          <w:b/>
        </w:rPr>
        <w:t xml:space="preserve">Cost and latency:</w:t>
      </w:r>
      <w:r>
        <w:t xml:space="preserve"> </w:t>
      </w:r>
      <w:r>
        <w:t xml:space="preserve">model calls, input and output tokens, and wall-clock time per project.</w:t>
      </w:r>
    </w:p>
    <w:p>
      <w:pPr>
        <w:numPr>
          <w:ilvl w:val="0"/>
          <w:numId w:val="1004"/>
        </w:numPr>
        <w:pStyle w:val="Compact"/>
      </w:pPr>
      <w:r>
        <w:rPr>
          <w:bCs/>
          <w:b/>
        </w:rPr>
        <w:t xml:space="preserve">Cache efficiency:</w:t>
      </w:r>
      <w:r>
        <w:t xml:space="preserve"> </w:t>
      </w:r>
      <w:r>
        <w:t xml:space="preserve">cache hit rate and calls saved on a re-review workload in which a fixed fraction of submissions is analysed a second time.</w:t>
      </w:r>
    </w:p>
    <w:p>
      <w:pPr>
        <w:numPr>
          <w:ilvl w:val="0"/>
          <w:numId w:val="1004"/>
        </w:numPr>
        <w:pStyle w:val="Compact"/>
      </w:pPr>
      <w:r>
        <w:rPr>
          <w:bCs/>
          <w:b/>
        </w:rPr>
        <w:t xml:space="preserve">On-chain cost:</w:t>
      </w:r>
      <w:r>
        <w:t xml:space="preserve"> </w:t>
      </w:r>
      <w:r>
        <w:t xml:space="preserve">gas used per operation (register, retire, list, buy, cancel), converted to a reference fee level.</w:t>
      </w:r>
    </w:p>
    <w:p>
      <w:pPr>
        <w:numPr>
          <w:ilvl w:val="0"/>
          <w:numId w:val="1004"/>
        </w:numPr>
        <w:pStyle w:val="Compact"/>
      </w:pPr>
      <w:r>
        <w:rPr>
          <w:bCs/>
          <w:b/>
        </w:rPr>
        <w:t xml:space="preserve">Administrator workload (optional):</w:t>
      </w:r>
      <w:r>
        <w:t xml:space="preserve"> </w:t>
      </w:r>
      <w:r>
        <w:t xml:space="preserve">fraction of submissions routed to low-risk fast review.</w:t>
      </w:r>
    </w:p>
    <w:p>
      <w:pPr>
        <w:pStyle w:val="FirstParagraph"/>
      </w:pPr>
      <w:r>
        <w:rPr>
          <w:bCs/>
          <w:b/>
        </w:rPr>
        <w:t xml:space="preserve">Statistics.</w:t>
      </w:r>
      <w:r>
        <w:t xml:space="preserve"> </w:t>
      </w:r>
      <w:r>
        <w:t xml:space="preserve">Results are reported as mean and standard deviation across runs. Paired differences between configurations on the same submissions use McNemar’s test, and confidence intervals are obtained by bootstrap resampling. Per-class counts are small, so per-class results are presented with intervals and interpreted cautiously.</w:t>
      </w:r>
    </w:p>
    <w:p>
      <w:pPr>
        <w:pStyle w:val="BodyText"/>
      </w:pPr>
      <w:r>
        <w:rPr>
          <w:bCs/>
          <w:b/>
        </w:rPr>
        <w:t xml:space="preserve">Ablations.</w:t>
      </w:r>
      <w:r>
        <w:t xml:space="preserve"> </w:t>
      </w:r>
      <w:r>
        <w:t xml:space="preserve">Remove one agent at a time from C4, remove each tool at a time, and vary the consensus size k in C2.</w:t>
      </w:r>
    </w:p>
    <w:p>
      <w:pPr>
        <w:pStyle w:val="BodyText"/>
      </w:pPr>
      <w:r>
        <w:rPr>
          <w:bCs/>
          <w:b/>
        </w:rPr>
        <w:t xml:space="preserve">Implementation.</w:t>
      </w:r>
      <w:r>
        <w:t xml:space="preserve"> </w:t>
      </w:r>
      <w:r>
        <w:t xml:space="preserve">Mobile and web clients, an evidence and verifier service, a document database, object storage, and Solidity contracts on a public test network. Contract tests use a standard development framework and a static analyser [15]. [TBD: versions and hardware].</w:t>
      </w:r>
    </w:p>
    <w:bookmarkEnd w:id="32"/>
    <w:bookmarkStart w:id="33" w:name="vii.-results"/>
    <w:p>
      <w:pPr>
        <w:pStyle w:val="Heading1"/>
      </w:pPr>
      <w:r>
        <w:t xml:space="preserve">VII. Results</w:t>
      </w:r>
    </w:p>
    <w:p>
      <w:pPr>
        <w:pStyle w:val="FirstParagraph"/>
      </w:pPr>
      <w:r>
        <w:t xml:space="preserve">This section is a template. Each result must come from real runs. Hypotheses are stated first so that they are fixed before measurement.</w:t>
      </w:r>
    </w:p>
    <w:p>
      <w:pPr>
        <w:pStyle w:val="BodyText"/>
      </w:pPr>
      <w:r>
        <w:rPr>
          <w:bCs/>
          <w:b/>
        </w:rPr>
        <w:t xml:space="preserve">Hypotheses.</w:t>
      </w:r>
    </w:p>
    <w:p>
      <w:pPr>
        <w:numPr>
          <w:ilvl w:val="0"/>
          <w:numId w:val="1005"/>
        </w:numPr>
        <w:pStyle w:val="Compact"/>
      </w:pPr>
      <w:r>
        <w:rPr>
          <w:bCs/>
          <w:b/>
        </w:rPr>
        <w:t xml:space="preserve">H1.</w:t>
      </w:r>
      <w:r>
        <w:t xml:space="preserve"> </w:t>
      </w:r>
      <w:r>
        <w:t xml:space="preserve">Homogeneous consensus (C2) improves over a single prompt (C1) on independent-noise failures but gives little benefit on correlated classes (A4, A10, A11), because samples from one model family share the same blind spots.</w:t>
      </w:r>
    </w:p>
    <w:p>
      <w:pPr>
        <w:numPr>
          <w:ilvl w:val="0"/>
          <w:numId w:val="1005"/>
        </w:numPr>
        <w:pStyle w:val="Compact"/>
      </w:pPr>
      <w:r>
        <w:rPr>
          <w:bCs/>
          <w:b/>
        </w:rPr>
        <w:t xml:space="preserve">H2.</w:t>
      </w:r>
      <w:r>
        <w:t xml:space="preserve"> </w:t>
      </w:r>
      <w:r>
        <w:t xml:space="preserve">Specialist agents with tools (C4) achieve lower ASR than C1 and C2 on consistency, registry and duplicate classes (A1, A2, A7, A12), because those are checked deterministically.</w:t>
      </w:r>
    </w:p>
    <w:p>
      <w:pPr>
        <w:numPr>
          <w:ilvl w:val="0"/>
          <w:numId w:val="1005"/>
        </w:numPr>
        <w:pStyle w:val="Compact"/>
      </w:pPr>
      <w:r>
        <w:rPr>
          <w:bCs/>
          <w:b/>
        </w:rPr>
        <w:t xml:space="preserve">H3.</w:t>
      </w:r>
      <w:r>
        <w:t xml:space="preserve"> </w:t>
      </w:r>
      <w:r>
        <w:t xml:space="preserve">Attestation reduces ASR on provenance classes (A1 to A4) to near zero with a small FRR cost, and leaves A13 and A14 to content analysis and tools.</w:t>
      </w:r>
    </w:p>
    <w:p>
      <w:pPr>
        <w:numPr>
          <w:ilvl w:val="0"/>
          <w:numId w:val="1005"/>
        </w:numPr>
        <w:pStyle w:val="Compact"/>
      </w:pPr>
      <w:r>
        <w:rPr>
          <w:bCs/>
          <w:b/>
        </w:rPr>
        <w:t xml:space="preserve">H4.</w:t>
      </w:r>
      <w:r>
        <w:t xml:space="preserve"> </w:t>
      </w:r>
      <w:r>
        <w:t xml:space="preserve">Content-addressed caching removes most model calls on re-review workloads.</w:t>
      </w:r>
    </w:p>
    <w:p>
      <w:pPr>
        <w:pStyle w:val="FirstParagraph"/>
      </w:pPr>
      <w:r>
        <w:rPr>
          <w:bCs/>
          <w:b/>
        </w:rPr>
        <w:t xml:space="preserve">Table 2. Overall results (test split, mean ± sd over 3 runs).</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45"/>
        <w:gridCol w:w="815"/>
        <w:gridCol w:w="815"/>
        <w:gridCol w:w="698"/>
        <w:gridCol w:w="1048"/>
        <w:gridCol w:w="1048"/>
        <w:gridCol w:w="1048"/>
      </w:tblGrid>
      <w:tr>
        <w:trPr>
          <w:tblHeader w:val="true"/>
        </w:trPr>
        <w:tc>
          <w:tcPr/>
          <w:p>
            <w:pPr>
              <w:pStyle w:val="Compact"/>
              <w:jc w:val="left"/>
            </w:pPr>
            <w:r>
              <w:rPr>
                <w:sz w:val="19"/>
              </w:rPr>
              <w:t xml:space="preserve">Configuration</w:t>
            </w:r>
          </w:p>
        </w:tc>
        <w:tc>
          <w:tcPr/>
          <w:p>
            <w:pPr>
              <w:pStyle w:val="Compact"/>
              <w:jc w:val="left"/>
            </w:pPr>
            <w:r>
              <w:rPr>
                <w:sz w:val="19"/>
              </w:rPr>
              <w:t xml:space="preserve">ASR (%)</w:t>
            </w:r>
          </w:p>
        </w:tc>
        <w:tc>
          <w:tcPr/>
          <w:p>
            <w:pPr>
              <w:pStyle w:val="Compact"/>
              <w:jc w:val="left"/>
            </w:pPr>
            <w:r>
              <w:rPr>
                <w:sz w:val="19"/>
              </w:rPr>
              <w:t xml:space="preserve">FRR (%)</w:t>
            </w:r>
          </w:p>
        </w:tc>
        <w:tc>
          <w:tcPr/>
          <w:p>
            <w:pPr>
              <w:pStyle w:val="Compact"/>
              <w:jc w:val="left"/>
            </w:pPr>
            <w:r>
              <w:rPr>
                <w:sz w:val="19"/>
              </w:rPr>
              <w:t xml:space="preserve">F1</w:t>
            </w:r>
          </w:p>
        </w:tc>
        <w:tc>
          <w:tcPr/>
          <w:p>
            <w:pPr>
              <w:pStyle w:val="Compact"/>
              <w:jc w:val="left"/>
            </w:pPr>
            <w:r>
              <w:rPr>
                <w:sz w:val="19"/>
              </w:rPr>
              <w:t xml:space="preserve">Agreement (%)</w:t>
            </w:r>
          </w:p>
        </w:tc>
        <w:tc>
          <w:tcPr/>
          <w:p>
            <w:pPr>
              <w:pStyle w:val="Compact"/>
              <w:jc w:val="left"/>
            </w:pPr>
            <w:r>
              <w:rPr>
                <w:sz w:val="19"/>
              </w:rPr>
              <w:t xml:space="preserve">Calls / project</w:t>
            </w:r>
          </w:p>
        </w:tc>
        <w:tc>
          <w:tcPr/>
          <w:p>
            <w:pPr>
              <w:pStyle w:val="Compact"/>
              <w:jc w:val="left"/>
            </w:pPr>
            <w:r>
              <w:rPr>
                <w:sz w:val="19"/>
              </w:rPr>
              <w:t xml:space="preserve">Latency (s)</w:t>
            </w:r>
          </w:p>
        </w:tc>
      </w:tr>
      <w:tr>
        <w:tc>
          <w:tcPr/>
          <w:p>
            <w:pPr>
              <w:pStyle w:val="Compact"/>
              <w:jc w:val="left"/>
            </w:pPr>
            <w:r>
              <w:rPr>
                <w:sz w:val="19"/>
              </w:rPr>
              <w:t xml:space="preserve">C0 rules only</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0</w:t>
            </w:r>
          </w:p>
        </w:tc>
        <w:tc>
          <w:tcPr/>
          <w:p>
            <w:pPr>
              <w:pStyle w:val="Compact"/>
              <w:jc w:val="left"/>
            </w:pPr>
            <w:r>
              <w:rPr>
                <w:sz w:val="19"/>
              </w:rPr>
              <w:t xml:space="preserve">[TBD]</w:t>
            </w:r>
          </w:p>
        </w:tc>
      </w:tr>
      <w:tr>
        <w:tc>
          <w:tcPr/>
          <w:p>
            <w:pPr>
              <w:pStyle w:val="Compact"/>
              <w:jc w:val="left"/>
            </w:pPr>
            <w:r>
              <w:rPr>
                <w:sz w:val="19"/>
              </w:rPr>
              <w:t xml:space="preserve">C1 single prompt</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r>
      <w:tr>
        <w:tc>
          <w:tcPr/>
          <w:p>
            <w:pPr>
              <w:pStyle w:val="Compact"/>
              <w:jc w:val="left"/>
            </w:pPr>
            <w:r>
              <w:rPr>
                <w:sz w:val="19"/>
              </w:rPr>
              <w:t xml:space="preserve">C2 consensus (k=3)</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r>
      <w:tr>
        <w:tc>
          <w:tcPr/>
          <w:p>
            <w:pPr>
              <w:pStyle w:val="Compact"/>
              <w:jc w:val="left"/>
            </w:pPr>
            <w:r>
              <w:rPr>
                <w:sz w:val="19"/>
              </w:rPr>
              <w:t xml:space="preserve">C3 specialist agents</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r>
      <w:tr>
        <w:tc>
          <w:tcPr/>
          <w:p>
            <w:pPr>
              <w:pStyle w:val="Compact"/>
              <w:jc w:val="left"/>
            </w:pPr>
            <w:r>
              <w:rPr>
                <w:sz w:val="19"/>
              </w:rPr>
              <w:t xml:space="preserve">C4 specialist + tools</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r>
      <w:tr>
        <w:tc>
          <w:tcPr/>
          <w:p>
            <w:pPr>
              <w:pStyle w:val="Compact"/>
              <w:jc w:val="left"/>
            </w:pPr>
            <w:r>
              <w:rPr>
                <w:sz w:val="19"/>
              </w:rPr>
              <w:t xml:space="preserve">C1 + A</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r>
      <w:tr>
        <w:tc>
          <w:tcPr/>
          <w:p>
            <w:pPr>
              <w:pStyle w:val="Compact"/>
              <w:jc w:val="left"/>
            </w:pPr>
            <w:r>
              <w:rPr>
                <w:sz w:val="19"/>
              </w:rPr>
              <w:t xml:space="preserve">C2 + A</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r>
      <w:tr>
        <w:tc>
          <w:tcPr/>
          <w:p>
            <w:pPr>
              <w:pStyle w:val="Compact"/>
              <w:jc w:val="left"/>
            </w:pPr>
            <w:r>
              <w:rPr>
                <w:sz w:val="19"/>
              </w:rPr>
              <w:t xml:space="preserve">C4 + A</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r>
    </w:tbl>
    <w:p>
      <w:pPr>
        <w:pStyle w:val="BodyText"/>
      </w:pPr>
      <w:r>
        <w:rPr>
          <w:bCs/>
          <w:b/>
        </w:rPr>
        <w:t xml:space="preserve">Table 3. Attack success rate by class (%).</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60"/>
        <w:gridCol w:w="720"/>
        <w:gridCol w:w="720"/>
        <w:gridCol w:w="720"/>
        <w:gridCol w:w="720"/>
        <w:gridCol w:w="720"/>
        <w:gridCol w:w="960"/>
      </w:tblGrid>
      <w:tr>
        <w:trPr>
          <w:tblHeader w:val="true"/>
        </w:trPr>
        <w:tc>
          <w:tcPr/>
          <w:p>
            <w:pPr>
              <w:pStyle w:val="Compact"/>
              <w:jc w:val="left"/>
            </w:pPr>
            <w:r>
              <w:rPr>
                <w:sz w:val="19"/>
              </w:rPr>
              <w:t xml:space="preserve">Class</w:t>
            </w:r>
          </w:p>
        </w:tc>
        <w:tc>
          <w:tcPr/>
          <w:p>
            <w:pPr>
              <w:pStyle w:val="Compact"/>
              <w:jc w:val="left"/>
            </w:pPr>
            <w:r>
              <w:rPr>
                <w:sz w:val="19"/>
              </w:rPr>
              <w:t xml:space="preserve">C0</w:t>
            </w:r>
          </w:p>
        </w:tc>
        <w:tc>
          <w:tcPr/>
          <w:p>
            <w:pPr>
              <w:pStyle w:val="Compact"/>
              <w:jc w:val="left"/>
            </w:pPr>
            <w:r>
              <w:rPr>
                <w:sz w:val="19"/>
              </w:rPr>
              <w:t xml:space="preserve">C1</w:t>
            </w:r>
          </w:p>
        </w:tc>
        <w:tc>
          <w:tcPr/>
          <w:p>
            <w:pPr>
              <w:pStyle w:val="Compact"/>
              <w:jc w:val="left"/>
            </w:pPr>
            <w:r>
              <w:rPr>
                <w:sz w:val="19"/>
              </w:rPr>
              <w:t xml:space="preserve">C2</w:t>
            </w:r>
          </w:p>
        </w:tc>
        <w:tc>
          <w:tcPr/>
          <w:p>
            <w:pPr>
              <w:pStyle w:val="Compact"/>
              <w:jc w:val="left"/>
            </w:pPr>
            <w:r>
              <w:rPr>
                <w:sz w:val="19"/>
              </w:rPr>
              <w:t xml:space="preserve">C3</w:t>
            </w:r>
          </w:p>
        </w:tc>
        <w:tc>
          <w:tcPr/>
          <w:p>
            <w:pPr>
              <w:pStyle w:val="Compact"/>
              <w:jc w:val="left"/>
            </w:pPr>
            <w:r>
              <w:rPr>
                <w:sz w:val="19"/>
              </w:rPr>
              <w:t xml:space="preserve">C4</w:t>
            </w:r>
          </w:p>
        </w:tc>
        <w:tc>
          <w:tcPr/>
          <w:p>
            <w:pPr>
              <w:pStyle w:val="Compact"/>
              <w:jc w:val="left"/>
            </w:pPr>
            <w:r>
              <w:rPr>
                <w:sz w:val="19"/>
              </w:rPr>
              <w:t xml:space="preserve">C4 + A</w:t>
            </w:r>
          </w:p>
        </w:tc>
      </w:tr>
      <w:tr>
        <w:tc>
          <w:tcPr/>
          <w:p>
            <w:pPr>
              <w:pStyle w:val="Compact"/>
              <w:jc w:val="left"/>
            </w:pPr>
            <w:r>
              <w:rPr>
                <w:sz w:val="19"/>
              </w:rPr>
              <w:t xml:space="preserve">A1–A4 provenance</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r>
      <w:tr>
        <w:tc>
          <w:tcPr/>
          <w:p>
            <w:pPr>
              <w:pStyle w:val="Compact"/>
              <w:jc w:val="left"/>
            </w:pPr>
            <w:r>
              <w:rPr>
                <w:sz w:val="19"/>
              </w:rPr>
              <w:t xml:space="preserve">A5–A8 consistency and semantics</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r>
      <w:tr>
        <w:tc>
          <w:tcPr/>
          <w:p>
            <w:pPr>
              <w:pStyle w:val="Compact"/>
              <w:jc w:val="left"/>
            </w:pPr>
            <w:r>
              <w:rPr>
                <w:sz w:val="19"/>
              </w:rPr>
              <w:t xml:space="preserve">A9 document alteration</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r>
      <w:tr>
        <w:tc>
          <w:tcPr/>
          <w:p>
            <w:pPr>
              <w:pStyle w:val="Compact"/>
              <w:jc w:val="left"/>
            </w:pPr>
            <w:r>
              <w:rPr>
                <w:sz w:val="19"/>
              </w:rPr>
              <w:t xml:space="preserve">A10–A11 prompt injection</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r>
      <w:tr>
        <w:tc>
          <w:tcPr/>
          <w:p>
            <w:pPr>
              <w:pStyle w:val="Compact"/>
              <w:jc w:val="left"/>
            </w:pPr>
            <w:r>
              <w:rPr>
                <w:sz w:val="19"/>
              </w:rPr>
              <w:t xml:space="preserve">A12 duplicate parcel</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r>
      <w:tr>
        <w:tc>
          <w:tcPr/>
          <w:p>
            <w:pPr>
              <w:pStyle w:val="Compact"/>
              <w:jc w:val="left"/>
            </w:pPr>
            <w:r>
              <w:rPr>
                <w:sz w:val="19"/>
              </w:rPr>
              <w:t xml:space="preserve">A13–A14 survives attestation</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c>
          <w:tcPr/>
          <w:p>
            <w:pPr>
              <w:pStyle w:val="Compact"/>
              <w:jc w:val="left"/>
            </w:pPr>
            <w:r>
              <w:rPr>
                <w:sz w:val="19"/>
              </w:rPr>
              <w:t xml:space="preserve">[TBD]</w:t>
            </w:r>
          </w:p>
        </w:tc>
      </w:tr>
    </w:tbl>
    <w:p>
      <w:pPr>
        <w:pStyle w:val="BodyText"/>
      </w:pPr>
      <w:r>
        <w:rPr>
          <w:bCs/>
          <w:b/>
        </w:rPr>
        <w:t xml:space="preserve">Table 4. Ablation of C4 (ASR change when a component is removed).</w:t>
      </w:r>
      <w:r>
        <w:t xml:space="preserve"> </w:t>
      </w:r>
      <w:r>
        <w:t xml:space="preserve">[TBD]</w:t>
      </w:r>
    </w:p>
    <w:p>
      <w:pPr>
        <w:pStyle w:val="BodyText"/>
      </w:pPr>
      <w:r>
        <w:rPr>
          <w:bCs/>
          <w:b/>
        </w:rPr>
        <w:t xml:space="preserve">Table 5. Cache efficiency on re-review workload.</w:t>
      </w:r>
      <w:r>
        <w:t xml:space="preserve"> </w:t>
      </w:r>
      <w:r>
        <w:t xml:space="preserve">[TBD: hit rate, calls saved, latency saved]</w:t>
      </w:r>
    </w:p>
    <w:p>
      <w:pPr>
        <w:pStyle w:val="BodyText"/>
      </w:pPr>
      <w:r>
        <w:rPr>
          <w:bCs/>
          <w:b/>
        </w:rPr>
        <w:t xml:space="preserve">Table 6. Gas per on-chain operation.</w:t>
      </w:r>
      <w:r>
        <w:t xml:space="preserve"> </w:t>
      </w:r>
      <w:r>
        <w:t xml:space="preserve">[TBD: register, retire, list, buy, cancel]</w:t>
      </w:r>
    </w:p>
    <w:p>
      <w:pPr>
        <w:pStyle w:val="BodyText"/>
      </w:pPr>
      <w:r>
        <w:rPr>
          <w:bCs/>
          <w:b/>
        </w:rPr>
        <w:t xml:space="preserve">Findings.</w:t>
      </w:r>
      <w:r>
        <w:t xml:space="preserve"> </w:t>
      </w:r>
      <w:r>
        <w:t xml:space="preserve">[TBD: report whether each of H1 to H4 was supported, partly supported or not supported, including results that contradict the hypotheses.]</w:t>
      </w:r>
    </w:p>
    <w:bookmarkEnd w:id="33"/>
    <w:bookmarkStart w:id="34" w:name="viii.-discussion-limitations-and-ethics"/>
    <w:p>
      <w:pPr>
        <w:pStyle w:val="Heading1"/>
      </w:pPr>
      <w:r>
        <w:t xml:space="preserve">VIII. Discussion, Limitations and Ethics</w:t>
      </w:r>
    </w:p>
    <w:p>
      <w:pPr>
        <w:pStyle w:val="FirstParagraph"/>
      </w:pPr>
      <w:r>
        <w:rPr>
          <w:bCs/>
          <w:b/>
        </w:rPr>
        <w:t xml:space="preserve">Interpretation.</w:t>
      </w:r>
      <w:r>
        <w:t xml:space="preserve"> </w:t>
      </w:r>
      <w:r>
        <w:t xml:space="preserve">[TBD after results]. The write-up should state plainly where consensus did and did not help, which classes remain hard after attestation, and what the attestation costs honest users (for example, contributors on devices without secure key storage).</w:t>
      </w:r>
    </w:p>
    <w:p>
      <w:pPr>
        <w:pStyle w:val="BodyText"/>
      </w:pPr>
      <w:r>
        <w:rPr>
          <w:bCs/>
          <w:b/>
        </w:rPr>
        <w:t xml:space="preserve">Threats to validity.</w:t>
      </w:r>
    </w:p>
    <w:p>
      <w:pPr>
        <w:numPr>
          <w:ilvl w:val="0"/>
          <w:numId w:val="1006"/>
        </w:numPr>
        <w:pStyle w:val="Compact"/>
      </w:pPr>
      <w:r>
        <w:rPr>
          <w:iCs/>
          <w:i/>
        </w:rPr>
        <w:t xml:space="preserve">Synthetic benchmark.</w:t>
      </w:r>
      <w:r>
        <w:t xml:space="preserve"> </w:t>
      </w:r>
      <w:r>
        <w:t xml:space="preserve">Attacks and legitimate cases are constructed, so results show relative performance of designs, not real-world fraud prevalence. Constructed attacks may be easier or harder than those used in practice.</w:t>
      </w:r>
    </w:p>
    <w:p>
      <w:pPr>
        <w:numPr>
          <w:ilvl w:val="0"/>
          <w:numId w:val="1006"/>
        </w:numPr>
        <w:pStyle w:val="Compact"/>
      </w:pPr>
      <w:r>
        <w:rPr>
          <w:iCs/>
          <w:i/>
        </w:rPr>
        <w:t xml:space="preserve">Image provenance in the data.</w:t>
      </w:r>
      <w:r>
        <w:t xml:space="preserve"> </w:t>
      </w:r>
      <w:r>
        <w:t xml:space="preserve">Where legitimate after-images are generated, detectors and models may behave differently than on real field photographs.</w:t>
      </w:r>
    </w:p>
    <w:p>
      <w:pPr>
        <w:numPr>
          <w:ilvl w:val="0"/>
          <w:numId w:val="1006"/>
        </w:numPr>
        <w:pStyle w:val="Compact"/>
      </w:pPr>
      <w:r>
        <w:rPr>
          <w:iCs/>
          <w:i/>
        </w:rPr>
        <w:t xml:space="preserve">Single model family.</w:t>
      </w:r>
      <w:r>
        <w:t xml:space="preserve"> </w:t>
      </w:r>
      <w:r>
        <w:t xml:space="preserve">Conclusions about consensus apply to homogeneous consensus within one family; heterogeneous ensembles may behave differently.</w:t>
      </w:r>
    </w:p>
    <w:p>
      <w:pPr>
        <w:numPr>
          <w:ilvl w:val="0"/>
          <w:numId w:val="1006"/>
        </w:numPr>
        <w:pStyle w:val="Compact"/>
      </w:pPr>
      <w:r>
        <w:rPr>
          <w:iCs/>
          <w:i/>
        </w:rPr>
        <w:t xml:space="preserve">Attestation limits.</w:t>
      </w:r>
      <w:r>
        <w:t xml:space="preserve"> </w:t>
      </w:r>
      <w:r>
        <w:t xml:space="preserve">Software-only attestation does not defeat screen recapture, mock location by a determined attacker, or a compromised device. Trust on first use at enrolment is a weakness.</w:t>
      </w:r>
    </w:p>
    <w:p>
      <w:pPr>
        <w:numPr>
          <w:ilvl w:val="0"/>
          <w:numId w:val="1006"/>
        </w:numPr>
        <w:pStyle w:val="Compact"/>
      </w:pPr>
      <w:r>
        <w:rPr>
          <w:iCs/>
          <w:i/>
        </w:rPr>
        <w:t xml:space="preserve">Quantification.</w:t>
      </w:r>
      <w:r>
        <w:t xml:space="preserve"> </w:t>
      </w:r>
      <w:r>
        <w:t xml:space="preserve">The credit calculator is a simplified, parameterised method, not a certified methodology, and credit quantities are not validated against field measurements.</w:t>
      </w:r>
    </w:p>
    <w:p>
      <w:pPr>
        <w:numPr>
          <w:ilvl w:val="0"/>
          <w:numId w:val="1006"/>
        </w:numPr>
        <w:pStyle w:val="Compact"/>
      </w:pPr>
      <w:r>
        <w:rPr>
          <w:iCs/>
          <w:i/>
        </w:rPr>
        <w:t xml:space="preserve">Scale.</w:t>
      </w:r>
      <w:r>
        <w:t xml:space="preserve"> </w:t>
      </w:r>
      <w:r>
        <w:t xml:space="preserve">Per-class sample sizes are small, so confidence intervals are wide.</w:t>
      </w:r>
    </w:p>
    <w:p>
      <w:pPr>
        <w:numPr>
          <w:ilvl w:val="0"/>
          <w:numId w:val="1006"/>
        </w:numPr>
        <w:pStyle w:val="Compact"/>
      </w:pPr>
      <w:r>
        <w:rPr>
          <w:iCs/>
          <w:i/>
        </w:rPr>
        <w:t xml:space="preserve">Model drift.</w:t>
      </w:r>
      <w:r>
        <w:t xml:space="preserve"> </w:t>
      </w:r>
      <w:r>
        <w:t xml:space="preserve">Hosted models change over time. Model identifiers, dates and prompts are recorded, and the cache key includes model and prompt versions.</w:t>
      </w:r>
    </w:p>
    <w:p>
      <w:pPr>
        <w:pStyle w:val="FirstParagraph"/>
      </w:pPr>
      <w:r>
        <w:rPr>
          <w:bCs/>
          <w:b/>
        </w:rPr>
        <w:t xml:space="preserve">Ethics and responsible release.</w:t>
      </w:r>
      <w:r>
        <w:t xml:space="preserve"> </w:t>
      </w:r>
      <w:r>
        <w:t xml:space="preserve">The study uses no real personal data. Documents use fictitious identities. Generated images are labelled synthetic. The attack catalogue consists of generic, widely known techniques, and the release focuses on measurement and defenses.</w:t>
      </w:r>
    </w:p>
    <w:p>
      <w:pPr>
        <w:pStyle w:val="BodyText"/>
      </w:pPr>
      <w:r>
        <w:rPr>
          <w:bCs/>
          <w:b/>
        </w:rPr>
        <w:t xml:space="preserve">Deployment considerations.</w:t>
      </w:r>
      <w:r>
        <w:t xml:space="preserve"> </w:t>
      </w:r>
      <w:r>
        <w:t xml:space="preserve">A human administrator remains the decision-maker, agent outputs are stored with reasons for audit, and the blockchain is used to make records tamper-evident, not to assert environmental truth. Real issuance would additionally require an accepted methodology, qualified verifiers, and legal and payment compliance. The token in this study is a testnet token with no monetary value.</w:t>
      </w:r>
    </w:p>
    <w:bookmarkEnd w:id="34"/>
    <w:bookmarkStart w:id="35" w:name="ix.-conclusion-and-future-work"/>
    <w:p>
      <w:pPr>
        <w:pStyle w:val="Heading1"/>
      </w:pPr>
      <w:r>
        <w:t xml:space="preserve">IX. Conclusion and Future Work</w:t>
      </w:r>
    </w:p>
    <w:p>
      <w:pPr>
        <w:pStyle w:val="FirstParagraph"/>
      </w:pPr>
      <w:r>
        <w:t xml:space="preserve">We argued that verification of citizen-submitted carbon-credit evidence should be designed and evaluated against adversarial submissions. We provided a threat taxonomy, a labelled benchmark, a comparison of single, consensus and specialist verifiers with tools, and a capture-time attestation scheme with on-chain evidence commitments. [TBD: one or two sentences summarising the measured outcome.] Future work includes heterogeneous model ensembles, hardware-backed device attestation, validation against real field-verified projects, satellite time-series monitoring, and integration with an accepted verification methodology.</w:t>
      </w:r>
    </w:p>
    <w:bookmarkEnd w:id="35"/>
    <w:bookmarkStart w:id="36" w:name="references"/>
    <w:p>
      <w:pPr>
        <w:pStyle w:val="Heading1"/>
      </w:pPr>
      <w:r>
        <w:t xml:space="preserve">References</w:t>
      </w:r>
    </w:p>
    <w:p>
      <w:pPr>
        <w:pStyle w:val="FirstParagraph"/>
      </w:pPr>
      <w:r>
        <w:t xml:space="preserve">[1] [Authors],</w:t>
      </w:r>
      <w:r>
        <w:t xml:space="preserve"> </w:t>
      </w:r>
      <w:r>
        <w:t xml:space="preserve">“</w:t>
      </w:r>
      <w:r>
        <w:t xml:space="preserve">Multi-agent AI consensus framework for autonomous carbon credit verification,</w:t>
      </w:r>
      <w:r>
        <w:t xml:space="preserve">”</w:t>
      </w:r>
      <w:r>
        <w:t xml:space="preserve"> </w:t>
      </w:r>
      <w:r>
        <w:t xml:space="preserve">in</w:t>
      </w:r>
      <w:r>
        <w:t xml:space="preserve"> </w:t>
      </w:r>
      <w:r>
        <w:rPr>
          <w:iCs/>
          <w:i/>
        </w:rPr>
        <w:t xml:space="preserve">Proc. 4th Int. Conf. Inventive Computing and Informatics (ICICI)</w:t>
      </w:r>
      <w:r>
        <w:t xml:space="preserve">, Bangalore, India, Jun. 2026, doi: 10.1109/ICICI68773.2026.11580699. [verify title and authors]</w:t>
      </w:r>
    </w:p>
    <w:p>
      <w:pPr>
        <w:pStyle w:val="BodyText"/>
      </w:pPr>
      <w:r>
        <w:t xml:space="preserve">[2] [Authors],</w:t>
      </w:r>
      <w:r>
        <w:t xml:space="preserve"> </w:t>
      </w:r>
      <w:r>
        <w:t xml:space="preserve">“</w:t>
      </w:r>
      <w:r>
        <w:t xml:space="preserve">AI-enhanced blockchain networks for climate change monitoring and carbon credit verification,</w:t>
      </w:r>
      <w:r>
        <w:t xml:space="preserve">”</w:t>
      </w:r>
      <w:r>
        <w:t xml:space="preserve"> </w:t>
      </w:r>
      <w:r>
        <w:t xml:space="preserve">ACM, doi: 10.1145/3748382.3748389. [verify authors and venue]</w:t>
      </w:r>
    </w:p>
    <w:p>
      <w:pPr>
        <w:pStyle w:val="BodyText"/>
      </w:pPr>
      <w:r>
        <w:t xml:space="preserve">[3] [Authors],</w:t>
      </w:r>
      <w:r>
        <w:t xml:space="preserve"> </w:t>
      </w:r>
      <w:r>
        <w:t xml:space="preserve">“</w:t>
      </w:r>
      <w:r>
        <w:t xml:space="preserve">Efficient ML technique in blockchain-based solution in carbon credit for mitigating greenwashing,</w:t>
      </w:r>
      <w:r>
        <w:t xml:space="preserve">”</w:t>
      </w:r>
      <w:r>
        <w:t xml:space="preserve"> </w:t>
      </w:r>
      <w:r>
        <w:t xml:space="preserve">2025, doi: 10.1007/s43621-025-01044-9. [verify authors and journal]</w:t>
      </w:r>
    </w:p>
    <w:p>
      <w:pPr>
        <w:pStyle w:val="BodyText"/>
      </w:pPr>
      <w:r>
        <w:t xml:space="preserve">[4] [Authors],</w:t>
      </w:r>
      <w:r>
        <w:t xml:space="preserve"> </w:t>
      </w:r>
      <w:r>
        <w:t xml:space="preserve">“</w:t>
      </w:r>
      <w:r>
        <w:t xml:space="preserve">Blockchain-based carbon credit tokenization model: Enhancing market transparency and trust,</w:t>
      </w:r>
      <w:r>
        <w:t xml:space="preserve">”</w:t>
      </w:r>
      <w:r>
        <w:t xml:space="preserve"> </w:t>
      </w:r>
      <w:r>
        <w:t xml:space="preserve">in</w:t>
      </w:r>
      <w:r>
        <w:t xml:space="preserve"> </w:t>
      </w:r>
      <w:r>
        <w:rPr>
          <w:iCs/>
          <w:i/>
        </w:rPr>
        <w:t xml:space="preserve">Proc. Int. Conf. Advancement in Data Science, E-learning and Information System (ICADEIS)</w:t>
      </w:r>
      <w:r>
        <w:t xml:space="preserve">, Feb. 2025, doi: 10.1109/ICADEIS65852.2025.10933427.</w:t>
      </w:r>
    </w:p>
    <w:p>
      <w:pPr>
        <w:pStyle w:val="BodyText"/>
      </w:pPr>
      <w:r>
        <w:t xml:space="preserve">[5] [Authors],</w:t>
      </w:r>
      <w:r>
        <w:t xml:space="preserve"> </w:t>
      </w:r>
      <w:r>
        <w:t xml:space="preserve">“</w:t>
      </w:r>
      <w:r>
        <w:t xml:space="preserve">Blockchain-based carbon credit trading,</w:t>
      </w:r>
      <w:r>
        <w:t xml:space="preserve">”</w:t>
      </w:r>
      <w:r>
        <w:t xml:space="preserve"> </w:t>
      </w:r>
      <w:r>
        <w:t xml:space="preserve">IEEE Xplore, document 11294326. [verify authors and venue]</w:t>
      </w:r>
    </w:p>
    <w:p>
      <w:pPr>
        <w:pStyle w:val="BodyText"/>
      </w:pPr>
      <w:r>
        <w:t xml:space="preserve">[6] K. Greshake et al.,</w:t>
      </w:r>
      <w:r>
        <w:t xml:space="preserve"> </w:t>
      </w:r>
      <w:r>
        <w:t xml:space="preserve">“</w:t>
      </w:r>
      <w:r>
        <w:t xml:space="preserve">Not what you’ve signed up for: Compromising real-world LLM-integrated applications with indirect prompt injection,</w:t>
      </w:r>
      <w:r>
        <w:t xml:space="preserve">”</w:t>
      </w:r>
      <w:r>
        <w:t xml:space="preserve"> </w:t>
      </w:r>
      <w:r>
        <w:t xml:space="preserve">arXiv:2302.12173, 2023.</w:t>
      </w:r>
    </w:p>
    <w:p>
      <w:pPr>
        <w:pStyle w:val="BodyText"/>
      </w:pPr>
      <w:r>
        <w:t xml:space="preserve">[7] F. Perez and I. Ribeiro,</w:t>
      </w:r>
      <w:r>
        <w:t xml:space="preserve"> </w:t>
      </w:r>
      <w:r>
        <w:t xml:space="preserve">“</w:t>
      </w:r>
      <w:r>
        <w:t xml:space="preserve">Ignore previous prompt: Attack techniques for language models,</w:t>
      </w:r>
      <w:r>
        <w:t xml:space="preserve">”</w:t>
      </w:r>
      <w:r>
        <w:t xml:space="preserve"> </w:t>
      </w:r>
      <w:r>
        <w:t xml:space="preserve">arXiv:2211.09527, 2022.</w:t>
      </w:r>
    </w:p>
    <w:p>
      <w:pPr>
        <w:pStyle w:val="BodyText"/>
      </w:pPr>
      <w:r>
        <w:t xml:space="preserve">[8] Y. Du et al.,</w:t>
      </w:r>
      <w:r>
        <w:t xml:space="preserve"> </w:t>
      </w:r>
      <w:r>
        <w:t xml:space="preserve">“</w:t>
      </w:r>
      <w:r>
        <w:t xml:space="preserve">Improving factuality and reasoning in language models through multiagent debate,</w:t>
      </w:r>
      <w:r>
        <w:t xml:space="preserve">”</w:t>
      </w:r>
      <w:r>
        <w:t xml:space="preserve"> </w:t>
      </w:r>
      <w:r>
        <w:t xml:space="preserve">arXiv:2305.14325, 2023.</w:t>
      </w:r>
    </w:p>
    <w:p>
      <w:pPr>
        <w:pStyle w:val="BodyText"/>
      </w:pPr>
      <w:r>
        <w:t xml:space="preserve">[9] X. Wang et al.,</w:t>
      </w:r>
      <w:r>
        <w:t xml:space="preserve"> </w:t>
      </w:r>
      <w:r>
        <w:t xml:space="preserve">“</w:t>
      </w:r>
      <w:r>
        <w:t xml:space="preserve">Self-consistency improves chain of thought reasoning in language models,</w:t>
      </w:r>
      <w:r>
        <w:t xml:space="preserve">”</w:t>
      </w:r>
      <w:r>
        <w:t xml:space="preserve"> </w:t>
      </w:r>
      <w:r>
        <w:t xml:space="preserve">arXiv:2203.11171, 2022.</w:t>
      </w:r>
    </w:p>
    <w:p>
      <w:pPr>
        <w:pStyle w:val="BodyText"/>
      </w:pPr>
      <w:r>
        <w:t xml:space="preserve">[10] R. C. Merkle,</w:t>
      </w:r>
      <w:r>
        <w:t xml:space="preserve"> </w:t>
      </w:r>
      <w:r>
        <w:t xml:space="preserve">“</w:t>
      </w:r>
      <w:r>
        <w:t xml:space="preserve">A digital signature based on a conventional encryption function,</w:t>
      </w:r>
      <w:r>
        <w:t xml:space="preserve">”</w:t>
      </w:r>
      <w:r>
        <w:t xml:space="preserve"> </w:t>
      </w:r>
      <w:r>
        <w:t xml:space="preserve">in</w:t>
      </w:r>
      <w:r>
        <w:t xml:space="preserve"> </w:t>
      </w:r>
      <w:r>
        <w:rPr>
          <w:iCs/>
          <w:i/>
        </w:rPr>
        <w:t xml:space="preserve">Advances in Cryptology (CRYPTO ’87)</w:t>
      </w:r>
      <w:r>
        <w:t xml:space="preserve">, 1987.</w:t>
      </w:r>
    </w:p>
    <w:p>
      <w:pPr>
        <w:pStyle w:val="BodyText"/>
      </w:pPr>
      <w:r>
        <w:t xml:space="preserve">[11] Gemini Team,</w:t>
      </w:r>
      <w:r>
        <w:t xml:space="preserve"> </w:t>
      </w:r>
      <w:r>
        <w:t xml:space="preserve">“</w:t>
      </w:r>
      <w:r>
        <w:t xml:space="preserve">Gemini: A family of highly capable multimodal models,</w:t>
      </w:r>
      <w:r>
        <w:t xml:space="preserve">”</w:t>
      </w:r>
      <w:r>
        <w:t xml:space="preserve"> </w:t>
      </w:r>
      <w:r>
        <w:t xml:space="preserve">arXiv:2312.11805, 2023. [cite the specific model report you use]</w:t>
      </w:r>
    </w:p>
    <w:p>
      <w:pPr>
        <w:pStyle w:val="BodyText"/>
      </w:pPr>
      <w:r>
        <w:t xml:space="preserve">[12] IPCC,</w:t>
      </w:r>
      <w:r>
        <w:t xml:space="preserve"> </w:t>
      </w:r>
      <w:r>
        <w:rPr>
          <w:iCs/>
          <w:i/>
        </w:rPr>
        <w:t xml:space="preserve">2006 IPCC Guidelines for National Greenhouse Gas Inventories, Vol. 4: Agriculture, Forestry and Other Land Use</w:t>
      </w:r>
      <w:r>
        <w:t xml:space="preserve">, 2006.</w:t>
      </w:r>
    </w:p>
    <w:p>
      <w:pPr>
        <w:pStyle w:val="BodyText"/>
      </w:pPr>
      <w:r>
        <w:t xml:space="preserve">[13] M. Drusch et al.,</w:t>
      </w:r>
      <w:r>
        <w:t xml:space="preserve"> </w:t>
      </w:r>
      <w:r>
        <w:t xml:space="preserve">“</w:t>
      </w:r>
      <w:r>
        <w:t xml:space="preserve">Sentinel-2: ESA’s optical high-resolution mission for GMES operational services,</w:t>
      </w:r>
      <w:r>
        <w:t xml:space="preserve">”</w:t>
      </w:r>
      <w:r>
        <w:t xml:space="preserve"> </w:t>
      </w:r>
      <w:r>
        <w:rPr>
          <w:iCs/>
          <w:i/>
        </w:rPr>
        <w:t xml:space="preserve">Remote Sensing of Environment</w:t>
      </w:r>
      <w:r>
        <w:t xml:space="preserve">, vol. 120, 2012.</w:t>
      </w:r>
    </w:p>
    <w:p>
      <w:pPr>
        <w:pStyle w:val="BodyText"/>
      </w:pPr>
      <w:r>
        <w:t xml:space="preserve">[14] F. Vogelsteller and V. Buterin,</w:t>
      </w:r>
      <w:r>
        <w:t xml:space="preserve"> </w:t>
      </w:r>
      <w:r>
        <w:t xml:space="preserve">“</w:t>
      </w:r>
      <w:r>
        <w:t xml:space="preserve">EIP-20: Token standard,</w:t>
      </w:r>
      <w:r>
        <w:t xml:space="preserve">”</w:t>
      </w:r>
      <w:r>
        <w:t xml:space="preserve"> </w:t>
      </w:r>
      <w:r>
        <w:t xml:space="preserve">2015.</w:t>
      </w:r>
    </w:p>
    <w:p>
      <w:pPr>
        <w:pStyle w:val="BodyText"/>
      </w:pPr>
      <w:r>
        <w:t xml:space="preserve">[15] J. Feist, G. Grieco and A. Groce,</w:t>
      </w:r>
      <w:r>
        <w:t xml:space="preserve"> </w:t>
      </w:r>
      <w:r>
        <w:t xml:space="preserve">“</w:t>
      </w:r>
      <w:r>
        <w:t xml:space="preserve">Slither: A static analysis framework for smart contracts,</w:t>
      </w:r>
      <w:r>
        <w:t xml:space="preserve">”</w:t>
      </w:r>
      <w:r>
        <w:t xml:space="preserve"> </w:t>
      </w:r>
      <w:r>
        <w:t xml:space="preserve">in</w:t>
      </w:r>
      <w:r>
        <w:t xml:space="preserve"> </w:t>
      </w:r>
      <w:r>
        <w:rPr>
          <w:iCs/>
          <w:i/>
        </w:rPr>
        <w:t xml:space="preserve">Proc. WETSEB</w:t>
      </w:r>
      <w:r>
        <w:t xml:space="preserve">, 2019.</w:t>
      </w:r>
    </w:p>
    <w:bookmarkEnd w:id="36"/>
    <w:bookmarkStart w:id="37" w:name="Xb97b0cdab50a4e190ed041401d7337ebb867bf0"/>
    <w:p>
      <w:pPr>
        <w:pStyle w:val="Heading1"/>
      </w:pPr>
      <w:r>
        <w:t xml:space="preserve">Appendix A. Verifier output schema (outline)</w:t>
      </w:r>
    </w:p>
    <w:p>
      <w:pPr>
        <w:pStyle w:val="FirstParagraph"/>
      </w:pPr>
      <w:r>
        <w:t xml:space="preserve">Every agent returns JSON with the fields: agent (string), version (string), score (number from 0 to 1, higher means more suspicious), decision (one of pass, review, flag), findings (list of objects with type, evidence reference and explanation), and confidence (number from 0 to 1). The aggregator returns overall_risk (low, medium, high), recommendation (approve, review, reject, request_more_evidence), supporting agent reports, and a report hash. Documents and images are treated as data: all prompts instruct the model to ignore any instructions found inside submitted content, and this instruction is itself evaluated by the prompt-injection classes A10 and A11.</w:t>
      </w:r>
    </w:p>
    <w:bookmarkEnd w:id="37"/>
    <w:bookmarkStart w:id="38" w:name="appendix-b.-reproducibility-checklist"/>
    <w:p>
      <w:pPr>
        <w:pStyle w:val="Heading1"/>
      </w:pPr>
      <w:r>
        <w:t xml:space="preserve">Appendix B. Reproducibility checklist</w:t>
      </w:r>
    </w:p>
    <w:p>
      <w:pPr>
        <w:numPr>
          <w:ilvl w:val="0"/>
          <w:numId w:val="1007"/>
        </w:numPr>
        <w:pStyle w:val="Compact"/>
      </w:pPr>
      <w:r>
        <w:t xml:space="preserve">Model identifier, date and parameters recorded for every run.</w:t>
      </w:r>
    </w:p>
    <w:p>
      <w:pPr>
        <w:numPr>
          <w:ilvl w:val="0"/>
          <w:numId w:val="1007"/>
        </w:numPr>
        <w:pStyle w:val="Compact"/>
      </w:pPr>
      <w:r>
        <w:t xml:space="preserve">Prompts and schema versions frozen and published.</w:t>
      </w:r>
    </w:p>
    <w:p>
      <w:pPr>
        <w:numPr>
          <w:ilvl w:val="0"/>
          <w:numId w:val="1007"/>
        </w:numPr>
        <w:pStyle w:val="Compact"/>
      </w:pPr>
      <w:r>
        <w:t xml:space="preserve">Benchmark generator, seeds and splits published.</w:t>
      </w:r>
    </w:p>
    <w:p>
      <w:pPr>
        <w:numPr>
          <w:ilvl w:val="0"/>
          <w:numId w:val="1007"/>
        </w:numPr>
        <w:pStyle w:val="Compact"/>
      </w:pPr>
      <w:r>
        <w:t xml:space="preserve">Evaluation scripts and statistical tests published.</w:t>
      </w:r>
    </w:p>
    <w:p>
      <w:pPr>
        <w:numPr>
          <w:ilvl w:val="0"/>
          <w:numId w:val="1007"/>
        </w:numPr>
        <w:pStyle w:val="Compact"/>
      </w:pPr>
      <w:r>
        <w:t xml:space="preserve">Contract addresses, network, compiler version and test suite published.</w:t>
      </w:r>
    </w:p>
    <w:p>
      <w:pPr>
        <w:numPr>
          <w:ilvl w:val="0"/>
          <w:numId w:val="1007"/>
        </w:numPr>
        <w:pStyle w:val="Compact"/>
      </w:pPr>
      <w:r>
        <w:t xml:space="preserve">Known limitations listed in Section VIII.</w:t>
      </w:r>
    </w:p>
    <w:bookmarkEnd w:id="38"/>
    <w:sect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color w:val="000000"/>
      <w:sz w:val="22"/>
    </w:rPr>
  </w:style>
  <w:style w:styleId="BodyText" w:type="paragraph">
    <w:name w:val="Body Text"/>
    <w:basedOn w:val="Normal"/>
    <w:link w:val="BodyTextChar"/>
    <w:pPr>
      <w:spacing w:after="120" w:before="180"/>
      <w:jc w:val="both"/>
    </w:pPr>
    <w:qFormat/>
    <w:rPr>
      <w:rFonts w:ascii="Times New Roman" w:cs="Times New Roman" w:eastAsia="Times New Roman" w:hAnsi="Times New Roman"/>
      <w:color w:val="000000"/>
      <w:sz w:val="22"/>
    </w:rPr>
  </w:style>
  <w:style w:customStyle="1" w:styleId="FirstParagraph" w:type="paragraph">
    <w:name w:val="First Paragraph"/>
    <w:basedOn w:val="BodyText"/>
    <w:next w:val="BodyText"/>
    <w:qFormat/>
    <w:pPr>
      <w:spacing w:after="120"/>
      <w:jc w:val="both"/>
    </w:pPr>
    <w:rPr>
      <w:rFonts w:ascii="Times New Roman" w:cs="Times New Roman" w:eastAsia="Times New Roman" w:hAnsi="Times New Roman"/>
      <w:color w:val="000000"/>
      <w:sz w:val="22"/>
    </w:rPr>
  </w:style>
  <w:style w:customStyle="1" w:styleId="Compact" w:type="paragraph">
    <w:name w:val="Compact"/>
    <w:basedOn w:val="BodyText"/>
    <w:qFormat/>
    <w:pPr>
      <w:spacing w:after="36" w:before="36"/>
    </w:pPr>
    <w:rPr>
      <w:rFonts w:ascii="Times New Roman" w:cs="Times New Roman" w:eastAsia="Times New Roman" w:hAnsi="Times New Roman"/>
      <w:color w:val="000000"/>
      <w:sz w:val="22"/>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b w:val="0"/>
      <w:i w:val="0"/>
      <w:color w:val="000000"/>
      <w:sz w:val="22"/>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color w:val="000000"/>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color w:val="000000"/>
      <w:sz w:val="22"/>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Sundarban: Provenance-First, Adversarially Evaluated Multi-Agent LLM Verification of Citizen-Submitted Afforestation Carbon Credits with Capture-Time Attestation and Blockchain-Anchored Evidence</dc:title>
  <dc:creator>[Author names], [Department], [College], [Email]</dc:creator>
  <cp:keywords/>
  <dcterms:created xsi:type="dcterms:W3CDTF">2026-10-20T07:23:04Z</dcterms:created>
  <dcterms:modified xsi:type="dcterms:W3CDTF">2026-10-20T07:23:04Z</dcterms:modified>
</cp:coreProperties>
</file>

<file path=docProps/custom.xml><?xml version="1.0" encoding="utf-8"?>
<Properties xmlns="http://schemas.openxmlformats.org/officeDocument/2006/custom-properties" xmlns:vt="http://schemas.openxmlformats.org/officeDocument/2006/docPropsVTypes"/>
</file>