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16"/>
        </w:rPr>
        <w:t>CONFIDENTIAL • MANAGEMENT MEMORANDUM</w:t>
      </w:r>
    </w:p>
    <w:p>
      <w:pPr>
        <w:pStyle w:val="Title"/>
      </w:pPr>
      <w:r>
        <w:t>Collections Performance Review</w:t>
      </w:r>
    </w:p>
    <w:p>
      <w:pPr>
        <w:spacing w:after="120"/>
      </w:pPr>
      <w:r>
        <w:rPr>
          <w:b/>
          <w:sz w:val="22"/>
        </w:rPr>
        <w:t>Investment recommendation: ₹10 Cr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Leadership Team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From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 Analytics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Date / 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September 1, 2026  |  Is the reported 11% recovery improvement real, and where should the ₹10 Cr go?</w:t>
            </w:r>
          </w:p>
        </w:tc>
      </w:tr>
    </w:tbl>
    <w:p>
      <w:pPr>
        <w:pStyle w:val="Heading1"/>
      </w:pPr>
      <w:r>
        <w:t>Bottom line</w:t>
      </w:r>
    </w:p>
    <w:p>
      <w:r>
        <w:rPr>
          <w:b/>
        </w:rPr>
        <w:t xml:space="preserve">Do not invest against the reported 11% improvement. </w:t>
      </w:r>
      <w:r>
        <w:t>The 11% month-on-month figure is arithmetically real for the Feb→Mar step, but it is not a sustained trend. Cash collected was broadly flat across Jan–Jul 2026 with no statistically significant trend (p = 0.89). We recommend using the ₹10 Cr to capture a measurable channel-efficiency opportunity, test the one promising targeting signal, and reserve capital until evidence improves.</w:t>
      </w:r>
    </w:p>
    <w:p>
      <w:pPr>
        <w:pStyle w:val="Heading1"/>
      </w:pPr>
      <w:r>
        <w:t>What happened</w:t>
      </w:r>
    </w:p>
    <w:p>
      <w:r>
        <w:rPr>
          <w:b/>
        </w:rPr>
        <w:t xml:space="preserve">Recovery performance was stable, not structurally improving. </w:t>
      </w:r>
      <w:r>
        <w:t>SUCCESS-status cash collected ranged from approximately ₹17.0–18.9 Cr per month during Jan–Jul 2026, while recovery rate remained within roughly 9.0–9.6%. The reported 11% improvement traces specifically to Feb→Mar; performance then declined 7.4% from Mar→Apr. The full-period trend is statistically indistinguishable from zero.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7"/>
              </w:rPr>
              <w:t>Metric</w:t>
            </w:r>
          </w:p>
        </w:tc>
        <w:tc>
          <w:tcPr>
            <w:tcW w:type="dxa" w:w="2592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7"/>
              </w:rPr>
              <w:t>Observed</w:t>
            </w:r>
          </w:p>
        </w:tc>
        <w:tc>
          <w:tcPr>
            <w:tcW w:type="dxa" w:w="2592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7"/>
              </w:rPr>
              <w:t>Interpretation</w:t>
            </w:r>
          </w:p>
        </w:tc>
        <w:tc>
          <w:tcPr>
            <w:tcW w:type="dxa" w:w="2592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7"/>
              </w:rPr>
              <w:t>Confidence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Recovered cash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₹131.6 Cr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SUCCESS payments only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Recovery rate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9.0–9.6% monthly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Broadly stable Jan–Jul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Reported improvement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11.11%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Feb→Mar step, not a trend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Targeted-account conversion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6.8%→8.5%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Directional signal; p = 0.39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Low–Moderate</w:t>
            </w:r>
          </w:p>
        </w:tc>
      </w:tr>
    </w:tbl>
    <w:p>
      <w:pPr>
        <w:pStyle w:val="Heading1"/>
      </w:pPr>
      <w:r>
        <w:t>Why</w:t>
      </w:r>
    </w:p>
    <w:p>
      <w:r>
        <w:t>Nine potential drivers were tested: portfolio mix, DPD, risk segment, calling time, attempt frequency, agent/team, telephony vendor, campaign channel, and targeting population size. None showed a statistically or practically significant effect on recovery.</w:t>
      </w:r>
    </w:p>
    <w:p>
      <w:r>
        <w:rPr>
          <w:b/>
        </w:rPr>
        <w:t xml:space="preserve">The most consequential finding is channel neutrality. </w:t>
      </w:r>
      <w:r>
        <w:t>When actual WhatsApp, SMS, field-visit, and phone-call touches were measured directly against a 14-day payment window, all four channels converted at statistically indistinguishable rates of about 3.5–3.7%. An earlier apparent WhatsApp advantage was traced to a campaign-labeling artifact rather than a real channel effect.</w:t>
      </w:r>
    </w:p>
    <w:p>
      <w:pPr>
        <w:pStyle w:val="Heading1"/>
      </w:pPr>
      <w:r>
        <w:t>How confident are we?</w:t>
      </w:r>
    </w:p>
    <w:p>
      <w:r>
        <w:rPr>
          <w:b/>
        </w:rPr>
        <w:t xml:space="preserve">High confidence: </w:t>
      </w:r>
      <w:r>
        <w:t>the 11% headline is not a sustained trend; independent metric definitions and formal tests agree. We also have high confidence that none of the nine tested dimensions currently explains a strong recovery effect.</w:t>
      </w:r>
    </w:p>
    <w:p>
      <w:r>
        <w:rPr>
          <w:b/>
        </w:rPr>
        <w:t xml:space="preserve">Lower confidence: </w:t>
      </w:r>
      <w:r>
        <w:t>positive agent/vendor/channel rankings. Identity-resolution and source-data limitations reduce precision. Borrower geography is not reliable enough for decision use, and several event tables require explicit timezone assumptions.</w:t>
      </w:r>
    </w:p>
    <w:p>
      <w:r>
        <w:rPr>
          <w:b/>
        </w:rPr>
        <w:t xml:space="preserve">One thread merits controlled testing: </w:t>
      </w:r>
      <w:r>
        <w:t>account-level conversion drifted from 6.8% in February to 8.5% in July. This is directionally positive but not statistically significant (p = 0.39), so it should be treated as a hypothesis, not a proven lift.</w:t>
      </w:r>
    </w:p>
    <w:p>
      <w:pPr>
        <w:pStyle w:val="Heading1"/>
      </w:pPr>
      <w:r>
        <w:t>Recommendation — ₹10 Cr allocation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7"/>
              </w:rPr>
              <w:t>Allocation</w:t>
            </w:r>
          </w:p>
        </w:tc>
        <w:tc>
          <w:tcPr>
            <w:tcW w:type="dxa" w:w="3456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7"/>
              </w:rPr>
              <w:t>Amount</w:t>
            </w:r>
          </w:p>
        </w:tc>
        <w:tc>
          <w:tcPr>
            <w:tcW w:type="dxa" w:w="3456"/>
            <w:vAlign w:val="center"/>
            <w:shd w:fill="E9EEF5"/>
          </w:tcPr>
          <w:p>
            <w:r/>
            <w:r>
              <w:rPr>
                <w:rFonts w:ascii="Aptos" w:hAnsi="Aptos"/>
                <w:b/>
                <w:sz w:val="17"/>
              </w:rPr>
              <w:t>Decision rationale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Digital channel mix-shift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₹3.0 Cr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Shift a meaningful share of field/live-call volume toward WhatsApp/SMS; add robust campaign attribution.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Randomized targeting experiment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₹4.0 Cr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Use a representative holdout to test whether the 6.8%→8.5% conversion drift is real and scalable.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Staged reserve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₹3.0 Cr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Hold capital until the experiment identifies a validated lever; deploy to the highest-confidence opportunity.</w:t>
            </w:r>
          </w:p>
        </w:tc>
      </w:tr>
    </w:tbl>
    <w:p>
      <w:pPr>
        <w:pStyle w:val="Heading1"/>
      </w:pPr>
      <w:r>
        <w:t>Expected financial impact</w:t>
      </w:r>
    </w:p>
    <w:p>
      <w:r>
        <w:rPr>
          <w:b/>
        </w:rPr>
        <w:t xml:space="preserve">Digital mix-shift — higher confidence, modest impact. </w:t>
      </w:r>
      <w:r>
        <w:t>Using illustrative unit-cost assumptions (not present in the source data and requiring Finance validation), a meaningful shift from field/live-call activity to equally effective digital channels is estimated to reduce operating cost by approximately ₹1.2–1.6 Cr per year without reducing recovery.</w:t>
      </w:r>
    </w:p>
    <w:p>
      <w:r>
        <w:rPr>
          <w:b/>
        </w:rPr>
        <w:t xml:space="preserve">Targeting experiment — lower confidence, upside case. </w:t>
      </w:r>
      <w:r>
        <w:t>If the observed 1.7-percentage-point conversion lift is real and scales across roughly 5,700 targeted accounts per month, incremental recovery could reach approximately ₹4–5 Cr per year. Because p = 0.39, the honest base case is closer to ₹0 until the experiment confirms the effect.</w:t>
      </w:r>
    </w:p>
    <w:p>
      <w:r>
        <w:rPr>
          <w:b/>
        </w:rPr>
        <w:t xml:space="preserve">Break-even. </w:t>
      </w:r>
      <w:r>
        <w:t>On cost efficiency alone, approximately two years against the ₹3 Cr mix-shift investment. If targeting is confirmed even partially, break-even on the combined ₹7 Cr deployed to the two active levers could fall below 12 months.</w:t>
      </w:r>
    </w:p>
    <w:p>
      <w:pPr>
        <w:pStyle w:val="Heading1"/>
      </w:pPr>
      <w:r>
        <w:t>What management should do next</w:t>
      </w:r>
    </w:p>
    <w:p>
      <w:pPr>
        <w:ind w:left="216" w:hanging="173"/>
      </w:pPr>
      <w:r>
        <w:rPr>
          <w:b/>
        </w:rPr>
        <w:t xml:space="preserve">• </w:t>
      </w:r>
      <w:r>
        <w:t>Stop using the 11% month-on-month figure as evidence of a sustained recovery improvement.</w:t>
      </w:r>
    </w:p>
    <w:p>
      <w:pPr>
        <w:ind w:left="216" w:hanging="173"/>
      </w:pPr>
      <w:r>
        <w:rPr>
          <w:b/>
        </w:rPr>
        <w:t xml:space="preserve">• </w:t>
      </w:r>
      <w:r>
        <w:t>Prioritize digital contact mix where effectiveness is comparable and operating cost is expected to be lower.</w:t>
      </w:r>
    </w:p>
    <w:p>
      <w:pPr>
        <w:ind w:left="216" w:hanging="173"/>
      </w:pPr>
      <w:r>
        <w:rPr>
          <w:b/>
        </w:rPr>
        <w:t xml:space="preserve">• </w:t>
      </w:r>
      <w:r>
        <w:t>Run the targeting holdout before scaling the apparent conversion improvement.</w:t>
      </w:r>
    </w:p>
    <w:p>
      <w:pPr>
        <w:ind w:left="216" w:hanging="173"/>
      </w:pPr>
      <w:r>
        <w:rPr>
          <w:b/>
        </w:rPr>
        <w:t xml:space="preserve">• </w:t>
      </w:r>
      <w:r>
        <w:t>Fix campaign attribution and measurement so channel effectiveness can be evaluated from actual touches rather than labels.</w:t>
      </w:r>
    </w:p>
    <w:p>
      <w:pPr>
        <w:ind w:left="216" w:hanging="173"/>
      </w:pPr>
      <w:r>
        <w:rPr>
          <w:b/>
        </w:rPr>
        <w:t xml:space="preserve">• </w:t>
      </w:r>
      <w:r>
        <w:t>Keep ₹3 Cr in reserve and release it only against validated evidence; do not commit the full amount to agents, telephony infrastructure, or AI voice automation because the tested dimensions did not show a measurable effect.</w:t>
      </w:r>
    </w:p>
    <w:p>
      <w:pPr>
        <w:spacing w:before="120"/>
      </w:pPr>
      <w:r>
        <w:rPr>
          <w:i/>
          <w:sz w:val="15"/>
        </w:rPr>
        <w:t>Important assumptions: source systems contain no channel cost data; digital substitution must be piloted without degrading borrower experience; targeting upside assumes recovered-per-converted-account remains near current levels.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