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28"/>
          <w:szCs w:val="28"/>
        </w:rPr>
        <w:t xml:space="preserve">MEMORANDUM</w:t>
      </w:r>
    </w:p>
    <w:p>
      <w:pPr>
        <w:pBdr>
          <w:bottom w:val="single" w:color="B7791F" w:sz="6" w:space="6"/>
        </w:pBdr>
        <w:spacing w:after="200"/>
      </w:pPr>
      <w:r>
        <w:rPr>
          <w:i/>
          <w:iCs/>
          <w:color w:val="666666"/>
          <w:sz w:val="20"/>
          <w:szCs w:val="20"/>
        </w:rPr>
        <w:t xml:space="preserve">Collections performance review and Rs 10 Cr investment recommendation</w:t>
      </w:r>
    </w:p>
    <w:p>
      <w:pPr>
        <w:spacing w:after="40"/>
      </w:pPr>
      <w:r>
        <w:rPr>
          <w:b/>
          <w:bCs/>
          <w:sz w:val="19"/>
          <w:szCs w:val="19"/>
        </w:rPr>
        <w:t xml:space="preserve">To:  </w:t>
      </w:r>
      <w:r>
        <w:rPr>
          <w:sz w:val="19"/>
          <w:szCs w:val="19"/>
        </w:rPr>
        <w:t xml:space="preserve">Leadership Team</w:t>
      </w:r>
    </w:p>
    <w:p>
      <w:pPr>
        <w:spacing w:after="40"/>
      </w:pPr>
      <w:r>
        <w:rPr>
          <w:b/>
          <w:bCs/>
          <w:sz w:val="19"/>
          <w:szCs w:val="19"/>
        </w:rPr>
        <w:t xml:space="preserve">From:  </w:t>
      </w:r>
      <w:r>
        <w:rPr>
          <w:sz w:val="19"/>
          <w:szCs w:val="19"/>
        </w:rPr>
        <w:t xml:space="preserve">Data Analytics</w:t>
      </w:r>
    </w:p>
    <w:p>
      <w:pPr>
        <w:spacing w:after="40"/>
      </w:pPr>
      <w:r>
        <w:rPr>
          <w:b/>
          <w:bCs/>
          <w:sz w:val="19"/>
          <w:szCs w:val="19"/>
        </w:rPr>
        <w:t xml:space="preserve">Date:  </w:t>
      </w:r>
      <w:r>
        <w:rPr>
          <w:sz w:val="19"/>
          <w:szCs w:val="19"/>
        </w:rPr>
        <w:t xml:space="preserve">September 1, 2026</w:t>
      </w:r>
    </w:p>
    <w:p>
      <w:pPr>
        <w:spacing w:after="200"/>
      </w:pPr>
      <w:r>
        <w:rPr>
          <w:b/>
          <w:bCs/>
          <w:sz w:val="19"/>
          <w:szCs w:val="19"/>
        </w:rPr>
        <w:t xml:space="preserve">Re:  </w:t>
      </w:r>
      <w:r>
        <w:rPr>
          <w:sz w:val="19"/>
          <w:szCs w:val="19"/>
        </w:rPr>
        <w:t xml:space="preserve">Is the reported 11% recovery improvement real, and where should the Rs 10 Cr go?</w:t>
      </w:r>
    </w:p>
    <w:p>
      <w:pPr>
        <w:pBdr>
          <w:bottom w:val="single" w:color="CCCCCC" w:sz="4" w:space="4"/>
        </w:pBdr>
        <w:spacing w:after="90" w:before="220"/>
      </w:pPr>
      <w:r>
        <w:rPr>
          <w:b/>
          <w:bCs/>
          <w:color w:val="1A1A1A"/>
          <w:sz w:val="22"/>
          <w:szCs w:val="22"/>
        </w:rPr>
        <w:t xml:space="preserve">Bottom line</w:t>
      </w:r>
    </w:p>
    <w:p>
      <w:pPr>
        <w:spacing w:after="140" w:line="264"/>
      </w:pPr>
      <w:r>
        <w:rPr>
          <w:sz w:val="21"/>
          <w:szCs w:val="21"/>
        </w:rPr>
        <w:t xml:space="preserve">The reported “11% month-on-month improvement” is arithmetically real for one month (Feb→Mar) but is not a trend. Recovery has been flat across the full Jan–Jul 2026 window we can measure, with no statistically significant movement in either direction (p = 0.89). We recommend against investing against this narrative. Instead, we recommend splitting the Rs 10 Cr three ways: shift contact-channel mix toward digital channels that the evidence shows are equally effective at lower cost; fund a properly randomized targeting experiment to test the one thread that shows a directional, not-yet-significant improvement signal; and fix two measurement gaps that currently make it impossible to know what's working.</w:t>
      </w:r>
    </w:p>
    <w:p>
      <w:pPr>
        <w:pBdr>
          <w:bottom w:val="single" w:color="CCCCCC" w:sz="4" w:space="4"/>
        </w:pBdr>
        <w:spacing w:after="90" w:before="220"/>
      </w:pPr>
      <w:r>
        <w:rPr>
          <w:b/>
          <w:bCs/>
          <w:color w:val="1A1A1A"/>
          <w:sz w:val="22"/>
          <w:szCs w:val="22"/>
        </w:rPr>
        <w:t xml:space="preserve">What happened</w:t>
      </w:r>
    </w:p>
    <w:p>
      <w:pPr>
        <w:spacing w:after="140" w:line="264"/>
      </w:pPr>
      <w:r>
        <w:rPr>
          <w:sz w:val="21"/>
          <w:szCs w:val="21"/>
        </w:rPr>
        <w:t xml:space="preserve">Cash actually collected (SUCCESS-status payments) ranged Rs 17.0–18.9 Cr/month across Jan–Jul 2026 with no upward or downward trend (linear regression p = 0.89). January and July collected within Rs 20,000 of each other. Recovery rate against outstanding balance held steady at 9.0–9.6% every month. The reported 11% figure traces to the Feb→Mar step specifically — the single best month in an otherwise flat, noisy series that also fell -9.1% (Jan→Feb) and -7.4% (Mar→Apr).</w:t>
      </w:r>
    </w:p>
    <w:p>
      <w:pPr>
        <w:pBdr>
          <w:bottom w:val="single" w:color="CCCCCC" w:sz="4" w:space="4"/>
        </w:pBdr>
        <w:spacing w:after="90" w:before="220"/>
      </w:pPr>
      <w:r>
        <w:rPr>
          <w:b/>
          <w:bCs/>
          <w:color w:val="1A1A1A"/>
          <w:sz w:val="22"/>
          <w:szCs w:val="22"/>
        </w:rPr>
        <w:t xml:space="preserve">Why</w:t>
      </w:r>
    </w:p>
    <w:p>
      <w:pPr>
        <w:spacing w:after="140" w:line="264"/>
      </w:pPr>
      <w:r>
        <w:rPr>
          <w:sz w:val="21"/>
          <w:szCs w:val="21"/>
        </w:rPr>
        <w:t xml:space="preserve">We tested nine dimensions: portfolio mix, DPD, risk segment, calling time of day, attempt frequency, agent/team, telephony vendor, campaign channel, and targeting-population size. None showed a statistically or practically significant effect on recovery. Geography and borrower-level segmentation could not be reliably tested — city/state fields in the borrower data are populated from only 10 possible values each and vary incoherently for the same person, indicating unreliable synthetic data rather than real profiles. Client and language fields do not exist anywhere in the source data.</w:t>
      </w:r>
    </w:p>
    <w:p>
      <w:pPr>
        <w:spacing w:after="140" w:line="264"/>
      </w:pPr>
      <w:r>
        <w:rPr>
          <w:sz w:val="21"/>
          <w:szCs w:val="21"/>
        </w:rPr>
        <w:t xml:space="preserve">The most consequential result: measuring actual WhatsApp, SMS, field-visit, and phone-call touches directly against a 14-day payment window, all four channels convert at a statistically indistinguishable ~3.5–3.7%. Channel choice does not appear to change the probability an account pays — materially different from our first-pass estimate (which looked like WhatsApp was best), which we traced to a labeling artifact in how campaigns tag their channel rather than a real effect.</w:t>
      </w:r>
    </w:p>
    <w:p>
      <w:pPr>
        <w:pBdr>
          <w:bottom w:val="single" w:color="CCCCCC" w:sz="4" w:space="4"/>
        </w:pBdr>
        <w:spacing w:after="90" w:before="220"/>
      </w:pPr>
      <w:r>
        <w:rPr>
          <w:b/>
          <w:bCs/>
          <w:color w:val="1A1A1A"/>
          <w:sz w:val="22"/>
          <w:szCs w:val="22"/>
        </w:rPr>
        <w:t xml:space="preserve">How confident are we</w:t>
      </w:r>
    </w:p>
    <w:p>
      <w:pPr>
        <w:spacing w:after="140" w:line="264"/>
      </w:pPr>
      <w:r>
        <w:rPr>
          <w:sz w:val="21"/>
          <w:szCs w:val="21"/>
        </w:rPr>
        <w:t xml:space="preserve">High confidence the 11% figure is not a sustained trend — multiple independent metric definitions and formal significance tests agree. High confidence none of the nine dimensions tested is currently driving a strong, reliable effect. Low confidence in any positive channel/agent/vendor ranking — sample coverage and identity-resolution issues in the source systems limit precision (see Data Quality Report). One genuinely promising, unconfirmed thread: account-level conversion rate (accounts that pay ÷ accounts targeted) drifted from 6.8% in February to 8.5% in July — directionally interesting but not statistically significant at these volumes (p = 0.39). This is the one number worth testing properly rather than dismissing or over-trusting.</w:t>
      </w:r>
    </w:p>
    <w:p>
      <w:pPr>
        <w:pBdr>
          <w:bottom w:val="single" w:color="CCCCCC" w:sz="4" w:space="4"/>
        </w:pBdr>
        <w:spacing w:after="90" w:before="220"/>
      </w:pPr>
      <w:r>
        <w:rPr>
          <w:b/>
          <w:bCs/>
          <w:color w:val="1A1A1A"/>
          <w:sz w:val="22"/>
          <w:szCs w:val="22"/>
        </w:rPr>
        <w:t xml:space="preserve">What we recommend — Rs 10 Cr allocation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00"/>
      </w:tblGrid>
      <w:tr>
        <w:tc>
          <w:tcPr>
            <w:tcW w:type="dxa" w:w="2400"/>
            <w:shd w:fill="2C3E50" w:val="clear"/>
            <w:tcMar>
              <w:top w:type="dxa" w:w="80"/>
              <w:left w:type="dxa" w:w="100"/>
              <w:bottom w:type="dxa" w:w="80"/>
              <w:right w:type="dxa" w:w="100"/>
            </w:tcMar>
          </w:tcPr>
          <w:p>
            <w:pPr>
              <w:jc w:val="left"/>
            </w:pPr>
            <w:r>
              <w:rPr>
                <w:b/>
                <w:bCs/>
                <w:color w:val="FFFFFF"/>
                <w:sz w:val="19"/>
                <w:szCs w:val="19"/>
              </w:rPr>
              <w:t xml:space="preserve">Allocation</w:t>
            </w:r>
          </w:p>
        </w:tc>
        <w:tc>
          <w:tcPr>
            <w:tcW w:type="dxa" w:w="1400"/>
            <w:shd w:fill="2C3E50" w:val="clear"/>
            <w:tcMar>
              <w:top w:type="dxa" w:w="80"/>
              <w:left w:type="dxa" w:w="100"/>
              <w:bottom w:type="dxa" w:w="80"/>
              <w:right w:type="dxa" w:w="100"/>
            </w:tcMar>
          </w:tcPr>
          <w:p>
            <w:pPr>
              <w:jc w:val="center"/>
            </w:pPr>
            <w:r>
              <w:rPr>
                <w:b/>
                <w:bCs/>
                <w:color w:val="FFFFFF"/>
                <w:sz w:val="19"/>
                <w:szCs w:val="19"/>
              </w:rPr>
              <w:t xml:space="preserve">Amount</w:t>
            </w:r>
          </w:p>
        </w:tc>
        <w:tc>
          <w:tcPr>
            <w:tcW w:type="dxa" w:w="5500"/>
            <w:shd w:fill="2C3E50" w:val="clear"/>
            <w:tcMar>
              <w:top w:type="dxa" w:w="80"/>
              <w:left w:type="dxa" w:w="100"/>
              <w:bottom w:type="dxa" w:w="80"/>
              <w:right w:type="dxa" w:w="100"/>
            </w:tcMar>
          </w:tcPr>
          <w:p>
            <w:pPr>
              <w:jc w:val="left"/>
            </w:pPr>
            <w:r>
              <w:rPr>
                <w:b/>
                <w:bCs/>
                <w:color w:val="FFFFFF"/>
                <w:sz w:val="19"/>
                <w:szCs w:val="19"/>
              </w:rPr>
              <w:t xml:space="preserve">Purpose</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Digital channel mix-shift</w:t>
            </w:r>
          </w:p>
        </w:tc>
        <w:tc>
          <w:tcPr>
            <w:tcW w:type="dxa" w:w="1400"/>
            <w:tcMar>
              <w:top w:type="dxa" w:w="80"/>
              <w:left w:type="dxa" w:w="100"/>
              <w:bottom w:type="dxa" w:w="80"/>
              <w:right w:type="dxa" w:w="100"/>
            </w:tcMar>
          </w:tcPr>
          <w:p>
            <w:pPr>
              <w:jc w:val="center"/>
            </w:pPr>
            <w:r>
              <w:rPr>
                <w:b w:val="false"/>
                <w:bCs w:val="false"/>
                <w:color w:val="1A1A1A"/>
                <w:sz w:val="19"/>
                <w:szCs w:val="19"/>
              </w:rPr>
              <w:t xml:space="preserve">Rs 3.0 Cr</w:t>
            </w:r>
          </w:p>
        </w:tc>
        <w:tc>
          <w:tcPr>
            <w:tcW w:type="dxa" w:w="5500"/>
            <w:tcMar>
              <w:top w:type="dxa" w:w="80"/>
              <w:left w:type="dxa" w:w="100"/>
              <w:bottom w:type="dxa" w:w="80"/>
              <w:right w:type="dxa" w:w="100"/>
            </w:tcMar>
          </w:tcPr>
          <w:p>
            <w:pPr>
              <w:jc w:val="left"/>
            </w:pPr>
            <w:r>
              <w:rPr>
                <w:b w:val="false"/>
                <w:bCs w:val="false"/>
                <w:color w:val="1A1A1A"/>
                <w:sz w:val="19"/>
                <w:szCs w:val="19"/>
              </w:rPr>
              <w:t xml:space="preserve">Move a share of field-visit/live-call volume to WhatsApp/SMS, where evidence shows equal effectiveness at far lower cost; build proper campaign-attribution tagging so future spend can be measured.</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Randomized targeting experiment</w:t>
            </w:r>
          </w:p>
        </w:tc>
        <w:tc>
          <w:tcPr>
            <w:tcW w:type="dxa" w:w="1400"/>
            <w:tcMar>
              <w:top w:type="dxa" w:w="80"/>
              <w:left w:type="dxa" w:w="100"/>
              <w:bottom w:type="dxa" w:w="80"/>
              <w:right w:type="dxa" w:w="100"/>
            </w:tcMar>
          </w:tcPr>
          <w:p>
            <w:pPr>
              <w:jc w:val="center"/>
            </w:pPr>
            <w:r>
              <w:rPr>
                <w:b w:val="false"/>
                <w:bCs w:val="false"/>
                <w:color w:val="1A1A1A"/>
                <w:sz w:val="19"/>
                <w:szCs w:val="19"/>
              </w:rPr>
              <w:t xml:space="preserve">Rs 4.0 Cr</w:t>
            </w:r>
          </w:p>
        </w:tc>
        <w:tc>
          <w:tcPr>
            <w:tcW w:type="dxa" w:w="5500"/>
            <w:tcMar>
              <w:top w:type="dxa" w:w="80"/>
              <w:left w:type="dxa" w:w="100"/>
              <w:bottom w:type="dxa" w:w="80"/>
              <w:right w:type="dxa" w:w="100"/>
            </w:tcMar>
          </w:tcPr>
          <w:p>
            <w:pPr>
              <w:jc w:val="left"/>
            </w:pPr>
            <w:r>
              <w:rPr>
                <w:b w:val="false"/>
                <w:bCs w:val="false"/>
                <w:color w:val="1A1A1A"/>
                <w:sz w:val="19"/>
                <w:szCs w:val="19"/>
              </w:rPr>
              <w:t xml:space="preserve">Test whether the observed 6.8%-&gt;8.5% conversion-rate drift is a real, scalable targeting effect, via a controlled holdout across a representative sample.</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Staged reserve</w:t>
            </w:r>
          </w:p>
        </w:tc>
        <w:tc>
          <w:tcPr>
            <w:tcW w:type="dxa" w:w="1400"/>
            <w:tcMar>
              <w:top w:type="dxa" w:w="80"/>
              <w:left w:type="dxa" w:w="100"/>
              <w:bottom w:type="dxa" w:w="80"/>
              <w:right w:type="dxa" w:w="100"/>
            </w:tcMar>
          </w:tcPr>
          <w:p>
            <w:pPr>
              <w:jc w:val="center"/>
            </w:pPr>
            <w:r>
              <w:rPr>
                <w:b w:val="false"/>
                <w:bCs w:val="false"/>
                <w:color w:val="1A1A1A"/>
                <w:sz w:val="19"/>
                <w:szCs w:val="19"/>
              </w:rPr>
              <w:t xml:space="preserve">Rs 3.0 Cr</w:t>
            </w:r>
          </w:p>
        </w:tc>
        <w:tc>
          <w:tcPr>
            <w:tcW w:type="dxa" w:w="5500"/>
            <w:tcMar>
              <w:top w:type="dxa" w:w="80"/>
              <w:left w:type="dxa" w:w="100"/>
              <w:bottom w:type="dxa" w:w="80"/>
              <w:right w:type="dxa" w:w="100"/>
            </w:tcMar>
          </w:tcPr>
          <w:p>
            <w:pPr>
              <w:jc w:val="left"/>
            </w:pPr>
            <w:r>
              <w:rPr>
                <w:b w:val="false"/>
                <w:bCs w:val="false"/>
                <w:color w:val="1A1A1A"/>
                <w:sz w:val="19"/>
                <w:szCs w:val="19"/>
              </w:rPr>
              <w:t xml:space="preserve">Held back pending experiment results; deployed to whichever lever is validated, rather than committed on today's inconclusive evidence.</w:t>
            </w:r>
          </w:p>
        </w:tc>
      </w:tr>
    </w:tbl>
    <w:p>
      <w:pPr>
        <w:spacing w:after="100" w:before="140"/>
      </w:pPr>
      <w:r>
        <w:t xml:space="preserve"/>
      </w:r>
    </w:p>
    <w:p>
      <w:pPr>
        <w:spacing w:after="140" w:line="264"/>
      </w:pPr>
      <w:r>
        <w:rPr>
          <w:sz w:val="21"/>
          <w:szCs w:val="21"/>
        </w:rPr>
        <w:t xml:space="preserve">We are explicitly not recommending the full Rs 10 Cr for “more agents,” “better telephony infrastructure,” or “AI voice automation”: none of the dimensions tested (including agent/team, vendor, and calling-time, which proxy for these) showed a measurable effect, so committing capital there lacks a data-backed case today. Field operations similarly showed no conversion advantage over cheaper channels.</w:t>
      </w:r>
    </w:p>
    <w:p>
      <w:pPr>
        <w:pBdr>
          <w:bottom w:val="single" w:color="CCCCCC" w:sz="4" w:space="4"/>
        </w:pBdr>
        <w:spacing w:after="90" w:before="220"/>
      </w:pPr>
      <w:r>
        <w:rPr>
          <w:b/>
          <w:bCs/>
          <w:color w:val="1A1A1A"/>
          <w:sz w:val="22"/>
          <w:szCs w:val="22"/>
        </w:rPr>
        <w:t xml:space="preserve">Expected financial impact</w:t>
      </w:r>
    </w:p>
    <w:p>
      <w:pPr>
        <w:spacing w:after="140" w:line="264"/>
      </w:pPr>
      <w:r>
        <w:rPr>
          <w:sz w:val="21"/>
          <w:szCs w:val="21"/>
        </w:rPr>
        <w:t xml:space="preserve">Digital mix-shift (high confidence, modest impact): using illustrative unit-cost assumptions — no cost data exists in the source systems, this needs Finance validation — shifting a meaningful share of field-visit and live-call volume to digital channels of equal effectiveness is estimated to reduce operating cost by roughly Rs 1.2–1.6 Cr/year without reducing recovery.</w:t>
      </w:r>
    </w:p>
    <w:p>
      <w:pPr>
        <w:spacing w:after="140" w:line="264"/>
      </w:pPr>
      <w:r>
        <w:rPr>
          <w:sz w:val="21"/>
          <w:szCs w:val="21"/>
        </w:rPr>
        <w:t xml:space="preserve">Targeting experiment (low-moderate confidence, upside case): if the observed 1.7-percentage-point conversion lift is real and scales across the ~5,700 accounts targeted monthly, incremental recovery could reach approximately Rs 4–5 Cr/year. Given the effect is not yet statistically significant (p = 0.39), the honest base case is closer to Rs 0 — the experiment exists specifically to resolve this uncertainty before further capital is committed.</w:t>
      </w:r>
    </w:p>
    <w:p>
      <w:pPr>
        <w:spacing w:after="140" w:line="264"/>
      </w:pPr>
      <w:r>
        <w:rPr>
          <w:sz w:val="21"/>
          <w:szCs w:val="21"/>
        </w:rPr>
        <w:t xml:space="preserve">Break-even: on the cost-efficiency component alone, roughly 2 years against the Rs 3 Cr infrastructure spend. If the targeting effect is confirmed even partially, break-even on the combined Rs 7 Cr (mix-shift + experiment) pulls in to under 12 months.</w:t>
      </w:r>
    </w:p>
    <w:p>
      <w:pPr>
        <w:spacing w:after="140" w:line="264"/>
      </w:pPr>
      <w:r>
        <w:rPr>
          <w:sz w:val="21"/>
          <w:szCs w:val="21"/>
        </w:rPr>
        <w:t xml:space="preserve">Downside scenario: the targeting effect is noise — the single most likely outcome given p = 0.39. In that case, the Rs 10 Cr still returns the ~Rs 1.2–1.6 Cr/year structural savings from the mix-shift, plus a now-reliable measurement pipeline, so next year's version of this memo will not have to start by asking whether a reported number is real.</w:t>
      </w:r>
    </w:p>
    <w:p>
      <w:pPr>
        <w:spacing w:after="140" w:line="264"/>
      </w:pPr>
      <w:r>
        <w:rPr>
          <w:i/>
          <w:iCs/>
          <w:sz w:val="19"/>
          <w:szCs w:val="19"/>
        </w:rPr>
        <w:t xml:space="preserve">Key assumptions: unit costs per contact channel (not present in source data — needs Finance validation); digital mix-shift is substitutable for a share of field/call volume without borrower-experience degradation (should be tested in the pilot, not assumed); recovered-per-converted-account holds near its current ~Rs 40,500 level if targeting scales.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2026-09-01T05:59:43.812Z</dcterms:created>
  <dcterms:modified xsi:type="dcterms:W3CDTF">2026-09-01T05:59:43.823Z</dcterms:modified>
</cp:coreProperties>
</file>

<file path=docProps/custom.xml><?xml version="1.0" encoding="utf-8"?>
<Properties xmlns="http://schemas.openxmlformats.org/officeDocument/2006/custom-properties" xmlns:vt="http://schemas.openxmlformats.org/officeDocument/2006/docPropsVTypes"/>
</file>