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FORM ‘A’</w:t>
      </w:r>
    </w:p>
    <w:p>
      <w:pPr>
        <w:jc w:val="center"/>
      </w:pPr>
      <w:r>
        <w:rPr>
          <w:b/>
          <w:sz w:val="28"/>
        </w:rPr>
        <w:t>MEDIATION APPLICATION FORM</w:t>
      </w:r>
    </w:p>
    <w:p>
      <w:pPr>
        <w:jc w:val="center"/>
      </w:pPr>
      <w:r>
        <w:rPr>
          <w:b w:val="0"/>
          <w:sz w:val="20"/>
        </w:rPr>
        <w:t>[REFER RULE 3(1)]</w:t>
      </w:r>
    </w:p>
    <w:p>
      <w:pPr>
        <w:jc w:val="center"/>
      </w:pPr>
      <w:r>
        <w:rPr>
          <w:b w:val="0"/>
          <w:sz w:val="22"/>
        </w:rPr>
        <w:t>Mumbai District Legal Services Authority</w:t>
      </w:r>
    </w:p>
    <w:p>
      <w:pPr>
        <w:jc w:val="center"/>
      </w:pPr>
      <w:r>
        <w:rPr>
          <w:b w:val="0"/>
          <w:sz w:val="22"/>
        </w:rPr>
        <w:t>City Civil Court, Mumbai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DETAILS OF PARTIES: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Name of Applicant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{{client_name}}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Address and contact details of Applicant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REGISTERED ADDRESS:</w:t>
              <w:br/>
              <w:t>{{branch_address}}</w:t>
              <w:br/>
              <w:br/>
              <w:t>CORRESPONDENCE BRANCH ADDRESS:</w:t>
              <w:br/>
              <w:t>{{branch_address}}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Telephone No.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{{mobile}}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Mobile No.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Email ID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info@kslegal.co.in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Name, Address and Contact details of Opposite Party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Name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{{customer_name}}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REGISTERED ADDRESS:</w:t>
              <w:br/>
              <w:t>{% if address1 and address1 != '' %}{{address1}}{% else %}____________{% endif %}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CORRESPONDENCE ADDRESS:</w:t>
              <w:br/>
              <w:t>{% if address1 and address1 != '' %}{{address1}}{% else %}____________{% endif %}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Telephone No.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Mobile No.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Email ID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DETAILS OF DISPUTE: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THE COMM. COURTS (PRE-INSTITUTION SETTLEMENT) RULES, 2018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