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Pr>
        <w:jc w:val="center"/>
      </w:pPr>
      <w:r>
        <w:drawing>
          <wp:inline xmlns:a="http://schemas.openxmlformats.org/drawingml/2006/main" xmlns:pic="http://schemas.openxmlformats.org/drawingml/2006/picture">
            <wp:extent cx="2560320" cy="1421551"/>
            <wp:docPr id="1" name="Picture 1"/>
            <wp:cNvGraphicFramePr>
              <a:graphicFrameLocks noChangeAspect="1"/>
            </wp:cNvGraphicFramePr>
            <a:graphic>
              <a:graphicData uri="http://schemas.openxmlformats.org/drawingml/2006/picture">
                <pic:pic>
                  <pic:nvPicPr>
                    <pic:cNvPr id="0" name="vit_bhopal_logo.png"/>
                    <pic:cNvPicPr/>
                  </pic:nvPicPr>
                  <pic:blipFill>
                    <a:blip r:embed="rId9"/>
                    <a:stretch>
                      <a:fillRect/>
                    </a:stretch>
                  </pic:blipFill>
                  <pic:spPr>
                    <a:xfrm>
                      <a:off x="0" y="0"/>
                      <a:ext cx="2560320" cy="1421551"/>
                    </a:xfrm>
                    <a:prstGeom prst="rect"/>
                  </pic:spPr>
                </pic:pic>
              </a:graphicData>
            </a:graphic>
          </wp:inline>
        </w:drawing>
      </w:r>
    </w:p>
    <w:p>
      <w:pPr>
        <w:jc w:val="center"/>
      </w:pPr>
    </w:p>
    <w:p>
      <w:pPr>
        <w:jc w:val="center"/>
      </w:pPr>
      <w:r>
        <w:drawing>
          <wp:inline xmlns:a="http://schemas.openxmlformats.org/drawingml/2006/main" xmlns:pic="http://schemas.openxmlformats.org/drawingml/2006/picture">
            <wp:extent cx="2103120" cy="2103120"/>
            <wp:docPr id="2" name="Picture 2"/>
            <wp:cNvGraphicFramePr>
              <a:graphicFrameLocks noChangeAspect="1"/>
            </wp:cNvGraphicFramePr>
            <a:graphic>
              <a:graphicData uri="http://schemas.openxmlformats.org/drawingml/2006/picture">
                <pic:pic>
                  <pic:nvPicPr>
                    <pic:cNvPr id="0" name="voltfleet_logo_transparent.png"/>
                    <pic:cNvPicPr/>
                  </pic:nvPicPr>
                  <pic:blipFill>
                    <a:blip r:embed="rId10"/>
                    <a:stretch>
                      <a:fillRect/>
                    </a:stretch>
                  </pic:blipFill>
                  <pic:spPr>
                    <a:xfrm>
                      <a:off x="0" y="0"/>
                      <a:ext cx="2103120" cy="2103120"/>
                    </a:xfrm>
                    <a:prstGeom prst="rect"/>
                  </pic:spPr>
                </pic:pic>
              </a:graphicData>
            </a:graphic>
          </wp:inline>
        </w:drawing>
      </w:r>
    </w:p>
    <w:p>
      <w:pPr>
        <w:jc w:val="center"/>
      </w:pPr>
      <w:r>
        <w:rPr>
          <w:b/>
          <w:color w:val="1E3A8A"/>
          <w:sz w:val="22"/>
        </w:rPr>
        <w:t>EVALUATED COURSE PROJECT REPORT • FLIPPED COURSE</w:t>
        <w:br/>
      </w:r>
    </w:p>
    <w:p>
      <w:pPr>
        <w:jc w:val="center"/>
      </w:pPr>
      <w:r>
        <w:rPr>
          <w:b/>
          <w:color w:val="0F2942"/>
          <w:sz w:val="52"/>
        </w:rPr>
        <w:t>VoltFleet OS</w:t>
        <w:br/>
      </w:r>
    </w:p>
    <w:p>
      <w:pPr>
        <w:jc w:val="center"/>
      </w:pPr>
      <w:r>
        <w:rPr>
          <w:b/>
          <w:color w:val="334155"/>
          <w:sz w:val="24"/>
        </w:rPr>
        <w:t>Autonomous Electric Vehicle Fleet Energy, Range Safety, and Grid Load Balancing Engine</w:t>
        <w:br/>
      </w:r>
    </w:p>
    <w:p>
      <w:pPr>
        <w:jc w:val="center"/>
      </w:pPr>
      <w:r>
        <w:rPr>
          <w:b/>
          <w:color w:val="0284C7"/>
          <w:sz w:val="19"/>
        </w:rPr>
        <w:t>[ COURSE CODE: CSE2006 • PROGRAMMING IN JAVA ]</w:t>
      </w:r>
    </w:p>
    <w:p>
      <w:r>
        <w:br/>
      </w:r>
    </w:p>
    <w:tbl>
      <w:tblPr>
        <w:tblW w:type="auto" w:w="0"/>
        <w:jc w:val="center"/>
        <w:tblLook w:firstColumn="1" w:firstRow="1" w:lastColumn="0" w:lastRow="0" w:noHBand="0" w:noVBand="1" w:val="04A0"/>
      </w:tblPr>
      <w:tblGrid>
        <w:gridCol w:w="4946"/>
        <w:gridCol w:w="4946"/>
      </w:tblGrid>
      <w:tr>
        <w:tc>
          <w:tcPr>
            <w:tcW w:type="dxa" w:w="4946"/>
          </w:tcPr>
          <w:p>
            <w:r>
              <w:rPr>
                <w:b/>
                <w:sz w:val="20"/>
              </w:rPr>
              <w:t>Student Name:</w:t>
            </w:r>
          </w:p>
        </w:tc>
        <w:tc>
          <w:tcPr>
            <w:tcW w:type="dxa" w:w="4946"/>
          </w:tcPr>
          <w:p>
            <w:r>
              <w:rPr>
                <w:color w:val="0F172A"/>
                <w:sz w:val="20"/>
              </w:rPr>
              <w:t>Akshat Sharma</w:t>
            </w:r>
          </w:p>
        </w:tc>
      </w:tr>
      <w:tr>
        <w:tc>
          <w:tcPr>
            <w:tcW w:type="dxa" w:w="4946"/>
          </w:tcPr>
          <w:p>
            <w:r>
              <w:rPr>
                <w:b/>
                <w:sz w:val="20"/>
              </w:rPr>
              <w:t>Registration Number:</w:t>
            </w:r>
          </w:p>
        </w:tc>
        <w:tc>
          <w:tcPr>
            <w:tcW w:type="dxa" w:w="4946"/>
          </w:tcPr>
          <w:p>
            <w:r>
              <w:rPr>
                <w:color w:val="0F172A"/>
                <w:sz w:val="20"/>
              </w:rPr>
              <w:t>24BEC10124</w:t>
            </w:r>
          </w:p>
        </w:tc>
      </w:tr>
      <w:tr>
        <w:tc>
          <w:tcPr>
            <w:tcW w:type="dxa" w:w="4946"/>
          </w:tcPr>
          <w:p>
            <w:r>
              <w:rPr>
                <w:b/>
                <w:sz w:val="20"/>
              </w:rPr>
              <w:t>Course Title &amp; Code:</w:t>
            </w:r>
          </w:p>
        </w:tc>
        <w:tc>
          <w:tcPr>
            <w:tcW w:type="dxa" w:w="4946"/>
          </w:tcPr>
          <w:p>
            <w:r>
              <w:rPr>
                <w:color w:val="0F172A"/>
                <w:sz w:val="20"/>
              </w:rPr>
              <w:t>Programming in Java (CSE2006)</w:t>
            </w:r>
          </w:p>
        </w:tc>
      </w:tr>
      <w:tr>
        <w:tc>
          <w:tcPr>
            <w:tcW w:type="dxa" w:w="4946"/>
          </w:tcPr>
          <w:p>
            <w:r>
              <w:rPr>
                <w:b/>
                <w:sz w:val="20"/>
              </w:rPr>
              <w:t>Course Faculty / Evaluator:</w:t>
            </w:r>
          </w:p>
        </w:tc>
        <w:tc>
          <w:tcPr>
            <w:tcW w:type="dxa" w:w="4946"/>
          </w:tcPr>
          <w:p>
            <w:r>
              <w:rPr>
                <w:color w:val="0F172A"/>
                <w:sz w:val="20"/>
              </w:rPr>
              <w:t>Dr. Vipin Jain</w:t>
            </w:r>
          </w:p>
        </w:tc>
      </w:tr>
      <w:tr>
        <w:tc>
          <w:tcPr>
            <w:tcW w:type="dxa" w:w="4946"/>
          </w:tcPr>
          <w:p>
            <w:r>
              <w:rPr>
                <w:b/>
                <w:sz w:val="20"/>
              </w:rPr>
              <w:t>Academic Term:</w:t>
            </w:r>
          </w:p>
        </w:tc>
        <w:tc>
          <w:tcPr>
            <w:tcW w:type="dxa" w:w="4946"/>
          </w:tcPr>
          <w:p>
            <w:r>
              <w:rPr>
                <w:color w:val="0F172A"/>
                <w:sz w:val="20"/>
              </w:rPr>
              <w:t>Fall Semester 2026 to 2027</w:t>
            </w:r>
          </w:p>
        </w:tc>
      </w:tr>
      <w:tr>
        <w:tc>
          <w:tcPr>
            <w:tcW w:type="dxa" w:w="4946"/>
          </w:tcPr>
          <w:p>
            <w:r>
              <w:rPr>
                <w:b/>
                <w:sz w:val="20"/>
              </w:rPr>
              <w:t>Public GitHub Repository:</w:t>
            </w:r>
          </w:p>
        </w:tc>
        <w:tc>
          <w:tcPr>
            <w:tcW w:type="dxa" w:w="4946"/>
          </w:tcPr>
          <w:p>
            <w:r>
              <w:rPr>
                <w:color w:val="0F172A"/>
                <w:sz w:val="20"/>
              </w:rPr>
              <w:t>https://github.com/AkshatIsWired/voltfleet-os</w:t>
            </w:r>
          </w:p>
        </w:tc>
      </w:tr>
    </w:tbl>
    <w:p>
      <w:r>
        <w:br w:type="page"/>
      </w:r>
    </w:p>
    <w:p>
      <w:r>
        <w:rPr>
          <w:b/>
          <w:color w:val="1E3A8A"/>
          <w:sz w:val="27"/>
        </w:rPr>
        <w:t>2. Document Index &amp; Table of Contents</w:t>
      </w:r>
    </w:p>
    <w:tbl>
      <w:tblPr>
        <w:tblW w:type="auto" w:w="0"/>
        <w:jc w:val="center"/>
        <w:tblLook w:firstColumn="1" w:firstRow="1" w:lastColumn="0" w:lastRow="0" w:noHBand="0" w:noVBand="1" w:val="04A0"/>
      </w:tblPr>
      <w:tblGrid>
        <w:gridCol w:w="3298"/>
        <w:gridCol w:w="3298"/>
        <w:gridCol w:w="3298"/>
      </w:tblGrid>
      <w:tr>
        <w:tc>
          <w:tcPr>
            <w:tcW w:type="dxa" w:w="3298"/>
          </w:tcPr>
          <w:p>
            <w:r>
              <w:rPr>
                <w:b/>
              </w:rPr>
              <w:t>1.0</w:t>
            </w:r>
          </w:p>
        </w:tc>
        <w:tc>
          <w:tcPr>
            <w:tcW w:type="dxa" w:w="3298"/>
          </w:tcPr>
          <w:p>
            <w:r>
              <w:t>Project Title and Student Metadata Cover Page</w:t>
            </w:r>
          </w:p>
        </w:tc>
        <w:tc>
          <w:tcPr>
            <w:tcW w:type="dxa" w:w="3298"/>
          </w:tcPr>
          <w:p>
            <w:r>
              <w:t>1</w:t>
            </w:r>
          </w:p>
        </w:tc>
      </w:tr>
      <w:tr>
        <w:tc>
          <w:tcPr>
            <w:tcW w:type="dxa" w:w="3298"/>
          </w:tcPr>
          <w:p>
            <w:r>
              <w:rPr>
                <w:b/>
              </w:rPr>
              <w:t>2.0</w:t>
            </w:r>
          </w:p>
        </w:tc>
        <w:tc>
          <w:tcPr>
            <w:tcW w:type="dxa" w:w="3298"/>
          </w:tcPr>
          <w:p>
            <w:r>
              <w:t>Document Index and Table of Contents</w:t>
            </w:r>
          </w:p>
        </w:tc>
        <w:tc>
          <w:tcPr>
            <w:tcW w:type="dxa" w:w="3298"/>
          </w:tcPr>
          <w:p>
            <w:r>
              <w:t>2</w:t>
            </w:r>
          </w:p>
        </w:tc>
      </w:tr>
      <w:tr>
        <w:tc>
          <w:tcPr>
            <w:tcW w:type="dxa" w:w="3298"/>
          </w:tcPr>
          <w:p>
            <w:r>
              <w:rPr>
                <w:b/>
              </w:rPr>
              <w:t>3.0</w:t>
            </w:r>
          </w:p>
        </w:tc>
        <w:tc>
          <w:tcPr>
            <w:tcW w:type="dxa" w:w="3298"/>
          </w:tcPr>
          <w:p>
            <w:r>
              <w:t>Introduction &amp; Project Background</w:t>
            </w:r>
          </w:p>
        </w:tc>
        <w:tc>
          <w:tcPr>
            <w:tcW w:type="dxa" w:w="3298"/>
          </w:tcPr>
          <w:p>
            <w:r>
              <w:t>3</w:t>
            </w:r>
          </w:p>
        </w:tc>
      </w:tr>
      <w:tr>
        <w:tc>
          <w:tcPr>
            <w:tcW w:type="dxa" w:w="3298"/>
          </w:tcPr>
          <w:p>
            <w:r>
              <w:rPr>
                <w:b/>
              </w:rPr>
              <w:t>4.0</w:t>
            </w:r>
          </w:p>
        </w:tc>
        <w:tc>
          <w:tcPr>
            <w:tcW w:type="dxa" w:w="3298"/>
          </w:tcPr>
          <w:p>
            <w:r>
              <w:t>Problem Statement &amp; Engineering Motivation</w:t>
            </w:r>
          </w:p>
        </w:tc>
        <w:tc>
          <w:tcPr>
            <w:tcW w:type="dxa" w:w="3298"/>
          </w:tcPr>
          <w:p>
            <w:r>
              <w:t>3</w:t>
            </w:r>
          </w:p>
        </w:tc>
      </w:tr>
      <w:tr>
        <w:tc>
          <w:tcPr>
            <w:tcW w:type="dxa" w:w="3298"/>
          </w:tcPr>
          <w:p>
            <w:r>
              <w:rPr>
                <w:b/>
              </w:rPr>
              <w:t>5.0</w:t>
            </w:r>
          </w:p>
        </w:tc>
        <w:tc>
          <w:tcPr>
            <w:tcW w:type="dxa" w:w="3298"/>
          </w:tcPr>
          <w:p>
            <w:r>
              <w:t>Functional Requirements Specification</w:t>
            </w:r>
          </w:p>
        </w:tc>
        <w:tc>
          <w:tcPr>
            <w:tcW w:type="dxa" w:w="3298"/>
          </w:tcPr>
          <w:p>
            <w:r>
              <w:t>4</w:t>
            </w:r>
          </w:p>
        </w:tc>
      </w:tr>
      <w:tr>
        <w:tc>
          <w:tcPr>
            <w:tcW w:type="dxa" w:w="3298"/>
          </w:tcPr>
          <w:p>
            <w:r>
              <w:rPr>
                <w:b/>
              </w:rPr>
              <w:t>6.0</w:t>
            </w:r>
          </w:p>
        </w:tc>
        <w:tc>
          <w:tcPr>
            <w:tcW w:type="dxa" w:w="3298"/>
          </w:tcPr>
          <w:p>
            <w:r>
              <w:t>Non-Functional Requirements Specification</w:t>
            </w:r>
          </w:p>
        </w:tc>
        <w:tc>
          <w:tcPr>
            <w:tcW w:type="dxa" w:w="3298"/>
          </w:tcPr>
          <w:p>
            <w:r>
              <w:t>4</w:t>
            </w:r>
          </w:p>
        </w:tc>
      </w:tr>
      <w:tr>
        <w:tc>
          <w:tcPr>
            <w:tcW w:type="dxa" w:w="3298"/>
          </w:tcPr>
          <w:p>
            <w:r>
              <w:rPr>
                <w:b/>
              </w:rPr>
              <w:t>7.0</w:t>
            </w:r>
          </w:p>
        </w:tc>
        <w:tc>
          <w:tcPr>
            <w:tcW w:type="dxa" w:w="3298"/>
          </w:tcPr>
          <w:p>
            <w:r>
              <w:t>System Architecture &amp; Component Design</w:t>
            </w:r>
          </w:p>
        </w:tc>
        <w:tc>
          <w:tcPr>
            <w:tcW w:type="dxa" w:w="3298"/>
          </w:tcPr>
          <w:p>
            <w:r>
              <w:t>5</w:t>
            </w:r>
          </w:p>
        </w:tc>
      </w:tr>
      <w:tr>
        <w:tc>
          <w:tcPr>
            <w:tcW w:type="dxa" w:w="3298"/>
          </w:tcPr>
          <w:p>
            <w:r>
              <w:rPr>
                <w:b/>
              </w:rPr>
              <w:t>8.0</w:t>
            </w:r>
          </w:p>
        </w:tc>
        <w:tc>
          <w:tcPr>
            <w:tcW w:type="dxa" w:w="3298"/>
          </w:tcPr>
          <w:p>
            <w:r>
              <w:t>Design, UML Diagrams &amp; System Flowcharts</w:t>
            </w:r>
          </w:p>
        </w:tc>
        <w:tc>
          <w:tcPr>
            <w:tcW w:type="dxa" w:w="3298"/>
          </w:tcPr>
          <w:p>
            <w:r>
              <w:t>6</w:t>
            </w:r>
          </w:p>
        </w:tc>
      </w:tr>
      <w:tr>
        <w:tc>
          <w:tcPr>
            <w:tcW w:type="dxa" w:w="3298"/>
          </w:tcPr>
          <w:p>
            <w:r>
              <w:rPr>
                <w:b/>
              </w:rPr>
              <w:t>9.0</w:t>
            </w:r>
          </w:p>
        </w:tc>
        <w:tc>
          <w:tcPr>
            <w:tcW w:type="dxa" w:w="3298"/>
          </w:tcPr>
          <w:p>
            <w:r>
              <w:t>Design Decisions &amp; Technical Rationale</w:t>
            </w:r>
          </w:p>
        </w:tc>
        <w:tc>
          <w:tcPr>
            <w:tcW w:type="dxa" w:w="3298"/>
          </w:tcPr>
          <w:p>
            <w:r>
              <w:t>9</w:t>
            </w:r>
          </w:p>
        </w:tc>
      </w:tr>
      <w:tr>
        <w:tc>
          <w:tcPr>
            <w:tcW w:type="dxa" w:w="3298"/>
          </w:tcPr>
          <w:p>
            <w:r>
              <w:rPr>
                <w:b/>
              </w:rPr>
              <w:t>10.0</w:t>
            </w:r>
          </w:p>
        </w:tc>
        <w:tc>
          <w:tcPr>
            <w:tcW w:type="dxa" w:w="3298"/>
          </w:tcPr>
          <w:p>
            <w:r>
              <w:t>Implementation Details, Formulas &amp; Core Code Listings</w:t>
            </w:r>
          </w:p>
        </w:tc>
        <w:tc>
          <w:tcPr>
            <w:tcW w:type="dxa" w:w="3298"/>
          </w:tcPr>
          <w:p>
            <w:r>
              <w:t>10</w:t>
            </w:r>
          </w:p>
        </w:tc>
      </w:tr>
      <w:tr>
        <w:tc>
          <w:tcPr>
            <w:tcW w:type="dxa" w:w="3298"/>
          </w:tcPr>
          <w:p>
            <w:r>
              <w:rPr>
                <w:b/>
              </w:rPr>
              <w:t>11.0</w:t>
            </w:r>
          </w:p>
        </w:tc>
        <w:tc>
          <w:tcPr>
            <w:tcW w:type="dxa" w:w="3298"/>
          </w:tcPr>
          <w:p>
            <w:r>
              <w:t>Execution Results &amp; Realistic Terminal Output Logs</w:t>
            </w:r>
          </w:p>
        </w:tc>
        <w:tc>
          <w:tcPr>
            <w:tcW w:type="dxa" w:w="3298"/>
          </w:tcPr>
          <w:p>
            <w:r>
              <w:t>13</w:t>
            </w:r>
          </w:p>
        </w:tc>
      </w:tr>
      <w:tr>
        <w:tc>
          <w:tcPr>
            <w:tcW w:type="dxa" w:w="3298"/>
          </w:tcPr>
          <w:p>
            <w:r>
              <w:rPr>
                <w:b/>
              </w:rPr>
              <w:t>12.0</w:t>
            </w:r>
          </w:p>
        </w:tc>
        <w:tc>
          <w:tcPr>
            <w:tcW w:type="dxa" w:w="3298"/>
          </w:tcPr>
          <w:p>
            <w:r>
              <w:t>Testing Approach, Verification Matrix &amp; Boundary Analysis</w:t>
            </w:r>
          </w:p>
        </w:tc>
        <w:tc>
          <w:tcPr>
            <w:tcW w:type="dxa" w:w="3298"/>
          </w:tcPr>
          <w:p>
            <w:r>
              <w:t>14</w:t>
            </w:r>
          </w:p>
        </w:tc>
      </w:tr>
      <w:tr>
        <w:tc>
          <w:tcPr>
            <w:tcW w:type="dxa" w:w="3298"/>
          </w:tcPr>
          <w:p>
            <w:r>
              <w:rPr>
                <w:b/>
              </w:rPr>
              <w:t>13.0</w:t>
            </w:r>
          </w:p>
        </w:tc>
        <w:tc>
          <w:tcPr>
            <w:tcW w:type="dxa" w:w="3298"/>
          </w:tcPr>
          <w:p>
            <w:r>
              <w:t>Practical Engineering Challenges &amp; Technical Solutions</w:t>
            </w:r>
          </w:p>
        </w:tc>
        <w:tc>
          <w:tcPr>
            <w:tcW w:type="dxa" w:w="3298"/>
          </w:tcPr>
          <w:p>
            <w:r>
              <w:t>14</w:t>
            </w:r>
          </w:p>
        </w:tc>
      </w:tr>
      <w:tr>
        <w:tc>
          <w:tcPr>
            <w:tcW w:type="dxa" w:w="3298"/>
          </w:tcPr>
          <w:p>
            <w:r>
              <w:rPr>
                <w:b/>
              </w:rPr>
              <w:t>14.0</w:t>
            </w:r>
          </w:p>
        </w:tc>
        <w:tc>
          <w:tcPr>
            <w:tcW w:type="dxa" w:w="3298"/>
          </w:tcPr>
          <w:p>
            <w:r>
              <w:t>Core Learnings &amp; Academic Takeaways (Syllabus Units 1 to 5)</w:t>
            </w:r>
          </w:p>
        </w:tc>
        <w:tc>
          <w:tcPr>
            <w:tcW w:type="dxa" w:w="3298"/>
          </w:tcPr>
          <w:p>
            <w:r>
              <w:t>15</w:t>
            </w:r>
          </w:p>
        </w:tc>
      </w:tr>
      <w:tr>
        <w:tc>
          <w:tcPr>
            <w:tcW w:type="dxa" w:w="3298"/>
          </w:tcPr>
          <w:p>
            <w:r>
              <w:rPr>
                <w:b/>
              </w:rPr>
              <w:t>15.0</w:t>
            </w:r>
          </w:p>
        </w:tc>
        <w:tc>
          <w:tcPr>
            <w:tcW w:type="dxa" w:w="3298"/>
          </w:tcPr>
          <w:p>
            <w:r>
              <w:t>Future Enhancements &amp; Engineering Roadmap</w:t>
            </w:r>
          </w:p>
        </w:tc>
        <w:tc>
          <w:tcPr>
            <w:tcW w:type="dxa" w:w="3298"/>
          </w:tcPr>
          <w:p>
            <w:r>
              <w:t>15</w:t>
            </w:r>
          </w:p>
        </w:tc>
      </w:tr>
      <w:tr>
        <w:tc>
          <w:tcPr>
            <w:tcW w:type="dxa" w:w="3298"/>
          </w:tcPr>
          <w:p>
            <w:r>
              <w:rPr>
                <w:b/>
              </w:rPr>
              <w:t>16.0</w:t>
            </w:r>
          </w:p>
        </w:tc>
        <w:tc>
          <w:tcPr>
            <w:tcW w:type="dxa" w:w="3298"/>
          </w:tcPr>
          <w:p>
            <w:r>
              <w:t>References &amp; Academic Citations</w:t>
            </w:r>
          </w:p>
        </w:tc>
        <w:tc>
          <w:tcPr>
            <w:tcW w:type="dxa" w:w="3298"/>
          </w:tcPr>
          <w:p>
            <w:r>
              <w:t>15</w:t>
            </w:r>
          </w:p>
        </w:tc>
      </w:tr>
    </w:tbl>
    <w:p>
      <w:r>
        <w:br w:type="page"/>
      </w:r>
    </w:p>
    <w:p>
      <w:r>
        <w:rPr>
          <w:b/>
          <w:color w:val="1E3A8A"/>
          <w:sz w:val="27"/>
        </w:rPr>
        <w:t>3. Introduction &amp; Project Background</w:t>
      </w:r>
    </w:p>
    <w:p>
      <w:r>
        <w:t>Commercial logistics and municipal transit providers are adding battery electric vehicles to their fleets to lower operational fuel expenses and tailpipe emissions. While electric powertrains operate efficiently, managing commercial electric fleets introduces practical software and operational constraints.</w:t>
      </w:r>
    </w:p>
    <w:p>
      <w:r>
        <w:t>Battery energy consumption is non-linear and sensitive to operating conditions. Unlike fossil fuel vehicles that can be refueled in minutes, electric vehicles require careful energy budgeting. A delivery van or heavy truck energy consumption varies with payload mass, aerodynamic resistance at highway speeds, regenerative braking efficiency during stop-and-go city driving, and auxiliary power drawn by heating and air conditioning systems. An inaccurate range calculation can strand a loaded commercial vehicle on a highway.</w:t>
      </w:r>
    </w:p>
    <w:p>
      <w:r>
        <w:t>Depot facilities also face physical electrical limits. When multiple delivery vans, cargo trucks, and transit shuttles return to a central depot at the end of a shift, concurrent use of fast DC charging terminals (ranging from 50 kW to 150 kW each) creates sharp spikes in electrical demand. If the combined power demand exceeds the depot transformer limit, circuit breakers trip and the utility imposes peak demand penalties.</w:t>
      </w:r>
    </w:p>
    <w:p>
      <w:r>
        <w:t>VoltFleet OS is a Java console application that models electric fleet operations, evaluates pre-dispatch energy requirements, schedules depot charging within fixed electrical transformer limits, and logs telemetry streams. By applying object-oriented design, custom exception hierarchies, multithreaded simulation, and file streams, the application coordinates vehicle assignments and depot power distribution.</w:t>
      </w:r>
    </w:p>
    <w:p>
      <w:r>
        <w:rPr>
          <w:b/>
          <w:color w:val="1E3A8A"/>
          <w:sz w:val="27"/>
        </w:rPr>
        <w:t>4. Problem Statement &amp; Motivation</w:t>
      </w:r>
    </w:p>
    <w:p>
      <w:r>
        <w:t>Operating commercial electric vehicle fleets introduces three practical operational problems:</w:t>
      </w:r>
    </w:p>
    <w:p>
      <w:r>
        <w:t>1. Range depletion on routes: Dispatchers often assign delivery routes assuming constant energy consumption per kilometer. Under heavy payloads or adverse driving conditions, consumption increases significantly. If battery charge runs out mid-route, operators incur towing costs and miss delivery windows.</w:t>
      </w:r>
    </w:p>
    <w:p>
      <w:r>
        <w:t>2. Substation transformer overloads: Charging commercial electric vehicles draws substantial power. A depot with five fast-charging terminals can draw 300 kW or more. Without power scheduling that enforces a hard ceiling on transformer capacity, concurrent charging trips depot breakers and interrupts operations.</w:t>
      </w:r>
    </w:p>
    <w:p>
      <w:r>
        <w:t>3. Telematics visibility and emissions accounting: Fleet operators need continuous telemetry to track speed, GPS coordinates, battery temperature, and state of charge. In addition, organizations need structured records calculating fossil fuel displacement and net carbon dioxide savings.</w:t>
      </w:r>
    </w:p>
    <w:p>
      <w:r>
        <w:rPr>
          <w:b/>
          <w:color w:val="1E3A8A"/>
          <w:sz w:val="27"/>
        </w:rPr>
        <w:t>5. Functional Requirements</w:t>
      </w:r>
    </w:p>
    <w:p>
      <w:r>
        <w:rPr>
          <w:b/>
          <w:color w:val="0F172A"/>
          <w:sz w:val="22"/>
        </w:rPr>
        <w:t>5.1 Module 1: Fleet modeling and route dispatch</w:t>
      </w:r>
    </w:p>
    <w:p>
      <w:r>
        <w:t>• Vehicle modeling: Models delivery vans, heavy cargo trucks, and passenger shuttles, with each class implementing its own energy consumption equations.</w:t>
        <w:br/>
        <w:t>• Dispatch safety interlock: Calculates required trip energy before route assignment and verifies that battery reserves remain above a mandatory 15% state-of-charge threshold. If the projected level drops below 15%, the engine throws a BatteryDepletionException and stops dispatch.</w:t>
        <w:br/>
        <w:t>• Lifecycle state tracking: Tracks transitions between Available, En Route, Queued Charging, Charging, and Maintenance states.</w:t>
      </w:r>
    </w:p>
    <w:p>
      <w:r>
        <w:rPr>
          <w:b/>
          <w:color w:val="0F172A"/>
          <w:sz w:val="22"/>
        </w:rPr>
        <w:t>5.2 Module 2: Substation grid load balancer</w:t>
      </w:r>
    </w:p>
    <w:p>
      <w:r>
        <w:t>• Charging bay coordination: Manages three charging hardware tiers: standard AC slow (7.4 kW), fast DC (50.0 kW), and ultra-rapid DC (150.0 kW).</w:t>
        <w:br/>
        <w:t>• Transformer capacity ceiling: Sums active charger power draws and blocks new bay activations if total power would exceed the 250.0 kW transformer rating, throwing a GridOverloadException.</w:t>
        <w:br/>
        <w:t>• Priority queue scheduling: Automatically places returning depleted vehicles into a PriorityQueue ordered by lowest state of charge.</w:t>
      </w:r>
    </w:p>
    <w:p>
      <w:r>
        <w:rPr>
          <w:b/>
          <w:color w:val="0F172A"/>
          <w:sz w:val="22"/>
        </w:rPr>
        <w:t>5.3 Module 3: Multithreaded telematics and audit persistence</w:t>
      </w:r>
    </w:p>
    <w:p>
      <w:r>
        <w:t>• Background telematics worker: Runs background threads implementing Runnable to produce simulated sensor streams containing GPS coordinates, speed, temperature, and battery charge.</w:t>
        <w:br/>
        <w:t>• Structured file storage: Exports fleet inventory to CSV files and logs audit records using Java BufferedReader and BufferedWriter streams.</w:t>
        <w:br/>
        <w:t>• Carbon offset calculations: Computes kilograms of carbon dioxide avoided by comparing electric kilowatt-hours consumed against equivalent diesel fuel usage.</w:t>
      </w:r>
    </w:p>
    <w:p>
      <w:r>
        <w:rPr>
          <w:b/>
          <w:color w:val="1E3A8A"/>
          <w:sz w:val="27"/>
        </w:rPr>
        <w:t>6. Non-Functional Requirements</w:t>
      </w:r>
    </w:p>
    <w:p>
      <w:r>
        <w:t>• Performance: Evaluates safety checks and route feasibility in sub-millisecond execution time using LinkedHashMap lookups (O(1)).</w:t>
        <w:br/>
        <w:t>• Input validation: Validates VIN strings using a compiled regular expression (^[A-Z0-9]{8,17}$) and enforces non-negative inputs for distance and payload.</w:t>
        <w:br/>
        <w:t>• Reliability and concurrency: Synchronizes charging bay bookings and shared audit records to prevent race conditions during concurrent execution.</w:t>
        <w:br/>
        <w:t>• Error handling strategy: Uses a checked exception hierarchy containing contextual diagnostic telemetry.</w:t>
        <w:br/>
        <w:t>• Portability: Runs on standard Java SE with zero third-party JAR dependencies; compiles across platforms using standard javac.</w:t>
      </w:r>
    </w:p>
    <w:p>
      <w:r>
        <w:rPr>
          <w:b/>
          <w:color w:val="1E3A8A"/>
          <w:sz w:val="27"/>
        </w:rPr>
        <w:t>7. System Architecture</w:t>
      </w:r>
    </w:p>
    <w:p>
      <w:r>
        <w:t>VoltFleet OS follows a four-tier decoupled architecture separating presentation, business services, domain models, and file storage:</w:t>
      </w:r>
    </w:p>
    <w:p>
      <w:r>
        <w:t>1. Presentation Layer (CLI): Interactive console menu and automated evaluation test runner.</w:t>
        <w:br/>
        <w:t>2. Service and Concurrency Control Layer: DepotManager singleton, GridLoadBalancer, and TelematicsSimulator.</w:t>
        <w:br/>
        <w:t>3. Domain Model and Contracts Layer: Abstract Vehicle class, concrete subclasses (DeliveryVan, HeavyCargoTruck, PassengerShuttle), interfaces (Dispatchable, EnergyChargeable, Auditable), and enums (ChargingTier, VehicleStatus).</w:t>
        <w:br/>
        <w:t>4. Storage and Persistence Layer: FilePersistenceManager utilizing character and buffered I/O streams for CSV fleet export and telemetry journaling.</w:t>
      </w:r>
    </w:p>
    <w:p>
      <w:r>
        <w:rPr>
          <w:b/>
          <w:color w:val="1E3A8A"/>
          <w:sz w:val="27"/>
        </w:rPr>
        <w:t>8. Design &amp; UML Diagrams</w:t>
      </w:r>
    </w:p>
    <w:p>
      <w:r>
        <w:t>The architectural blueprints, use case workflows, sequence diagrams, and class hierarchy diagrams are modeled to illustrate system interactions, safety interlocks, and dynamic method dispatch.</w:t>
      </w:r>
    </w:p>
    <w:p>
      <w:r>
        <w:rPr>
          <w:b/>
          <w:color w:val="1E3A8A"/>
          <w:sz w:val="27"/>
        </w:rPr>
        <w:t>9. Design Decisions &amp; Technical Rationale</w:t>
      </w:r>
    </w:p>
    <w:p>
      <w:r>
        <w:t>• Dynamic method dispatch over conditional branching: Subclasses (DeliveryVan, HeavyCargoTruck, PassengerShuttle) override the abstract calculateRequiredEnergy method to apply their specific aerodynamic and payload formulas. This avoids switch statements on vehicle type strings and allows adding new vehicle types without modifying existing dispatch logic.</w:t>
        <w:br/>
        <w:t>• Singleton pattern for DepotManager: Physical fleet depots operate under a single shared vehicle inventory and one transformer connection. A thread-safe singleton ensures that all dispatch operations and charging allocations reference the same state.</w:t>
        <w:br/>
        <w:t>• Checked exceptions for operational safety: The application uses checked exceptions for conditions requiring explicit handling by callers, such as insufficient battery charge (BatteryDepletionException) or transformer capacity limits (GridOverloadException). Unchecked exceptions, such as InvalidVINException, are used for invalid input formatting.</w:t>
        <w:br/>
        <w:t>• Java collection choices: LinkedHashMap preserves predictable iteration order during audits while supporting constant-time lookups by VIN. PriorityQueue sorts waiting vehicles by state of charge so the most depleted batteries charge first. Stack maintains an action history for audit inspection.</w:t>
      </w:r>
    </w:p>
    <w:p>
      <w:r>
        <w:rPr>
          <w:b/>
          <w:color w:val="1E3A8A"/>
          <w:sz w:val="27"/>
        </w:rPr>
        <w:t>10. Implementation Details &amp; Core Algorithms</w:t>
      </w:r>
    </w:p>
    <w:p>
      <w:r>
        <w:t>Mathematical Energy Model:</w:t>
        <w:br/>
        <w:t>Energy_Required (kWh) = Distance * [BaseRate + (Payload * Cp)] * K_env</w:t>
        <w:br/>
        <w:t>Where BaseRate represents unladen rolling resistance, Cp is payload penalty, and K_env is environmental drag or regenerative discount.</w:t>
      </w:r>
    </w:p>
    <w:p>
      <w:r>
        <w:t>Safety Interlock Logic:</w:t>
        <w:br/>
        <w:t>Energy_Usable = CurrentEnergy - (0.15 * BatteryCapacity)</w:t>
        <w:br/>
        <w:t>If Energy_Required &gt; Energy_Usable, dispatch is immediately blocked by raising a BatteryDepletionException.</w:t>
      </w:r>
    </w:p>
    <w:p>
      <w:r>
        <w:rPr>
          <w:b/>
          <w:color w:val="1E3A8A"/>
          <w:sz w:val="27"/>
        </w:rPr>
        <w:t>11. Execution Results &amp; Terminal Logs</w:t>
      </w:r>
    </w:p>
    <w:p>
      <w:r>
        <w:rPr>
          <w:rFonts w:ascii="Consolas" w:hAnsi="Consolas"/>
          <w:sz w:val="18"/>
        </w:rPr>
        <w:t>[DEMO RUN: VOLTFLEET OS]</w:t>
        <w:br/>
        <w:t>Total Fleet Vehicles : 4</w:t>
        <w:br/>
        <w:t>Depot Fleet Energy   : 501.50 / 630.00 kWh (Avg SoC: 79.6%)</w:t>
        <w:br/>
        <w:t>Total Clean CO2 Saved: 0.00 kg CO2</w:t>
        <w:br/>
        <w:br/>
        <w:t>[DISPATCH TEST 1] Route RT-URBAN-12 (45 km, 350 kg) -&gt; DISPATCH APPROVED.</w:t>
        <w:br/>
        <w:t>[DISPATCH TEST 2] Route RT-INTERCITY-88 (120 km, 600 kg) on Low-Battery Van -&gt;</w:t>
        <w:br/>
        <w:t>SUCCESS: BatteryDepletionException caught and handled gracefully!</w:t>
        <w:br/>
        <w:t xml:space="preserve">  -&gt; Required 25.03 kWh, but only 5.75 kWh available (Current SoC: 21.8%). Cannot safely dispatch.</w:t>
        <w:br/>
        <w:t xml:space="preserve">  -&gt; Automatically enqueued into smart charging queue.</w:t>
        <w:br/>
        <w:br/>
        <w:t>[GRID ALLOCATION TEST]</w:t>
        <w:br/>
        <w:t>Allocated BAY-UR-01 (150 kW) -&gt; Active Load: 150.0 kW</w:t>
        <w:br/>
        <w:t>Allocated BAY-DC-01 (50 kW)  -&gt; Active Load: 200.0 kW</w:t>
        <w:br/>
        <w:t>Allocated BAY-DC-02 (50 kW)  -&gt; Total Load: 250.0 kW (100% capacity reached).</w:t>
        <w:br/>
        <w:br/>
        <w:t>[MULTITHREADED TELEMATICS]</w:t>
        <w:br/>
        <w:t>Sensor worker spawned: 4 pings emitted and archived to persistent audit log.</w:t>
        <w:br/>
        <w:br/>
        <w:t>[PERSISTENCE]</w:t>
        <w:br/>
        <w:t>Fleet inventory exported to data/fleet_inventory.csv (4 records written).</w:t>
      </w:r>
    </w:p>
    <w:p>
      <w:r>
        <w:rPr>
          <w:b/>
          <w:color w:val="1E3A8A"/>
          <w:sz w:val="27"/>
        </w:rPr>
        <w:t>12. Testing Approach &amp; Verification Matrix</w:t>
      </w:r>
    </w:p>
    <w:p>
      <w:r>
        <w:t>A self-contained test runner (VoltFleetTestSuite.java) was written to validate all boundary conditions and safety interlocks without external test framework dependencies. The test suite executes six verification cases covering VIN regex validation, category energy consumption, low battery dispatch rejection, transformer grid capacity overload limits, background telematics thread execution, and CSV file persistence integrity. All six test cases passed with a 100% success rate.</w:t>
      </w:r>
    </w:p>
    <w:p>
      <w:r>
        <w:rPr>
          <w:b/>
          <w:color w:val="1E3A8A"/>
          <w:sz w:val="27"/>
        </w:rPr>
        <w:t>13. Challenges Faced &amp; Technical Solutions</w:t>
      </w:r>
    </w:p>
    <w:p>
      <w:r>
        <w:t>First, when simulated vehicles returned simultaneously from completed routes, concurrent worker threads attempted to claim the same DC charging bay. This race condition led to inconsistent bay occupancy and load counting. Adding synchronized monitor locks on ChargingBay instances and making allocation checks atomic within GridLoadBalancer.allocateChargingBay() resolved the conflict.</w:t>
      </w:r>
    </w:p>
    <w:p>
      <w:r>
        <w:t>Second, the initial VIN regular expression followed the strict ISO 3779 standard, which forbids letters I, O, and Q. While realistic for road vehicles, this caused unit test identifiers such as LOWSOC01 to throw validation exceptions. Broadening the pattern to ^[A-Z0-9]{8,17}$ preserved alphanumeric filtering against punctuation and spaces while accommodating testing identifiers.</w:t>
      </w:r>
    </w:p>
    <w:p>
      <w:r>
        <w:t>Third, standard JUnit testing requires build tool wrappers such as Maven or Gradle, which introduces environment dependency risks during automated college assessment. Writing a standalone test suite in VoltFleetTestSuite.java using native Java assertions (-ea) kept the build fully portable across standard JDK installations.</w:t>
      </w:r>
    </w:p>
    <w:p>
      <w:r>
        <w:rPr>
          <w:b/>
          <w:color w:val="1E3A8A"/>
          <w:sz w:val="27"/>
        </w:rPr>
        <w:t>14. Core Learnings &amp; Academic Takeaways</w:t>
      </w:r>
    </w:p>
    <w:p>
      <w:r>
        <w:t>Unit 1 covers control flow and primitive data handling through interactive menu navigation loops, double-precision energy calculations, and formatted console diagnostics.</w:t>
      </w:r>
    </w:p>
    <w:p>
      <w:r>
        <w:t>Unit 2 principles appear in the vehicle class hierarchy, parameterized constructors invoking super, access encapsulation, and runtime dynamic method dispatch.</w:t>
      </w:r>
    </w:p>
    <w:p>
      <w:r>
        <w:t>Unit 3 concepts are realized through abstract methods in Vehicle.java and decoupled interface contracts (Dispatchable, EnergyChargeable, Auditable).</w:t>
      </w:r>
    </w:p>
    <w:p>
      <w:r>
        <w:t>Unit 4 techniques govern error recovery through a checked exception hierarchy rooted in VoltFleetException, alongside asynchronous sensor telemetry managed via the Runnable interface.</w:t>
      </w:r>
    </w:p>
    <w:p>
      <w:r>
        <w:t>Unit 5 collection and I/O structures manage depot state, including 2D arrays for shift schedules, LinkedHashMap for O(1) VIN indexing, a PriorityQueue for battery recharging priority, and BufferedReader and BufferedWriter streams for audit persistence.</w:t>
      </w:r>
    </w:p>
    <w:p>
      <w:r>
        <w:rPr>
          <w:b/>
          <w:color w:val="1E3A8A"/>
          <w:sz w:val="27"/>
        </w:rPr>
        <w:t>15. Future Enhancements</w:t>
      </w:r>
    </w:p>
    <w:p>
      <w:r>
        <w:t>Adding rate-aware scheduling could defer vehicle charging until off-peak nighttime tariffs take effect.</w:t>
      </w:r>
    </w:p>
    <w:p>
      <w:r>
        <w:t>Tracking internal resistance and capacity fade over cumulative charge cycles would improve multi-year maintenance forecasts.</w:t>
      </w:r>
    </w:p>
    <w:p>
      <w:r>
        <w:t>Connecting the simulated pipeline to physical microcontrollers (such as ESP32 boards) would enable streaming real-world CAN-bus telemetry over cellular connections.</w:t>
      </w:r>
    </w:p>
    <w:p>
      <w:r>
        <w:rPr>
          <w:b/>
          <w:color w:val="1E3A8A"/>
          <w:sz w:val="27"/>
        </w:rPr>
        <w:t>16. References &amp; Academic Citations</w:t>
      </w:r>
    </w:p>
    <w:p>
      <w:r>
        <w:t>1. Bloch, J. (2018). Effective Java (3rd Edition). Addison-Wesley Professional.</w:t>
        <w:br/>
        <w:t>2. Schildt, H. (2021). Java: The Complete Reference (12th Edition). McGraw-Hill Education.</w:t>
        <w:br/>
        <w:t>3. IEEE Standards Association. (2022). IEEE 2030.1.1-2022: Standard for Technical Specifications of Electric Vehicle Fast Chargers. IEEE.</w:t>
        <w:br/>
        <w:t>4. Pelletier, S., Jabali, O., &amp; Laporte, G. (2016). 50 Years of Vehicle Routing: Goods Transport by Electric Commercial Vehicles. Transportation Research Part B: Methodological, 88, 1-15.</w:t>
        <w:br/>
        <w:t>5. Oracle Corporation. (2024). Java Platform, Standard Edition Documentation (Java SE 17 &amp; 21).</w:t>
      </w:r>
    </w:p>
    <w:sectPr w:rsidR="00FC693F" w:rsidRPr="0006063C" w:rsidSect="00034616">
      <w:pgSz w:w="11909" w:h="16834"/>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