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BANGALORE INSTITUTE OF TECHNOLOGY</w:t>
        <w:br/>
      </w:r>
      <w:r>
        <w:rPr>
          <w:sz w:val="20"/>
        </w:rPr>
        <w:t>An Autonomous Institution affiliated to VTU, Belagavi</w:t>
        <w:br/>
      </w:r>
      <w:r>
        <w:rPr>
          <w:sz w:val="20"/>
        </w:rPr>
        <w:t>K.R. Road, V.V.Pura, Bengaluru-560 004</w:t>
        <w:br/>
      </w:r>
      <w:r>
        <w:rPr>
          <w:sz w:val="20"/>
        </w:rPr>
        <w:t>Department of Computer Science &amp; Engineering</w:t>
      </w:r>
    </w:p>
    <w:p/>
    <w:p>
      <w:pPr>
        <w:jc w:val="center"/>
      </w:pPr>
      <w:r>
        <w:rPr>
          <w:b/>
          <w:sz w:val="26"/>
        </w:rPr>
        <w:t>MINOR PROJECT SYNOPSIS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Sl. No.</w:t>
            </w:r>
          </w:p>
        </w:tc>
        <w:tc>
          <w:tcPr>
            <w:tcW w:type="dxa" w:w="1337"/>
          </w:tcPr>
          <w:p>
            <w:r>
              <w:rPr>
                <w:b/>
                <w:sz w:val="18"/>
              </w:rPr>
              <w:t>USN</w:t>
            </w:r>
          </w:p>
        </w:tc>
        <w:tc>
          <w:tcPr>
            <w:tcW w:type="dxa" w:w="1337"/>
          </w:tcPr>
          <w:p>
            <w:r>
              <w:rPr>
                <w:b/>
                <w:sz w:val="18"/>
              </w:rPr>
              <w:t>NAME</w:t>
            </w:r>
          </w:p>
        </w:tc>
        <w:tc>
          <w:tcPr>
            <w:tcW w:type="dxa" w:w="1337"/>
          </w:tcPr>
          <w:p>
            <w:r>
              <w:rPr>
                <w:b/>
                <w:sz w:val="18"/>
              </w:rPr>
              <w:t>Sec.</w:t>
            </w:r>
          </w:p>
        </w:tc>
        <w:tc>
          <w:tcPr>
            <w:tcW w:type="dxa" w:w="1337"/>
          </w:tcPr>
          <w:p>
            <w:r>
              <w:rPr>
                <w:b/>
                <w:sz w:val="18"/>
              </w:rPr>
              <w:t>Email-Id</w:t>
            </w:r>
          </w:p>
        </w:tc>
        <w:tc>
          <w:tcPr>
            <w:tcW w:type="dxa" w:w="1337"/>
          </w:tcPr>
          <w:p>
            <w:r>
              <w:rPr>
                <w:b/>
                <w:sz w:val="18"/>
              </w:rPr>
              <w:t>Phone No.</w:t>
            </w:r>
          </w:p>
        </w:tc>
        <w:tc>
          <w:tcPr>
            <w:tcW w:type="dxa" w:w="1337"/>
          </w:tcPr>
          <w:p>
            <w:r>
              <w:rPr>
                <w:b/>
                <w:sz w:val="18"/>
              </w:rPr>
              <w:t>Signature</w:t>
            </w:r>
          </w:p>
        </w:tc>
      </w:tr>
      <w:tr>
        <w:tc>
          <w:tcPr>
            <w:tcW w:type="dxa" w:w="1337"/>
          </w:tcPr>
          <w:p>
            <w:r>
              <w:rPr>
                <w:sz w:val="18"/>
              </w:rPr>
              <w:t>1</w:t>
            </w:r>
          </w:p>
        </w:tc>
        <w:tc>
          <w:tcPr>
            <w:tcW w:type="dxa" w:w="1337"/>
          </w:tcPr>
          <w:p>
            <w:r>
              <w:rPr>
                <w:sz w:val="18"/>
              </w:rPr>
              <w:t>Reg No. 1</w:t>
            </w:r>
          </w:p>
        </w:tc>
        <w:tc>
          <w:tcPr>
            <w:tcW w:type="dxa" w:w="1337"/>
          </w:tcPr>
          <w:p>
            <w:r>
              <w:rPr>
                <w:sz w:val="18"/>
              </w:rPr>
              <w:t>Akshat Prashar</w:t>
            </w:r>
          </w:p>
        </w:tc>
        <w:tc>
          <w:tcPr>
            <w:tcW w:type="dxa" w:w="1337"/>
          </w:tcPr>
          <w:p>
            <w:r>
              <w:rPr>
                <w:sz w:val="18"/>
              </w:rPr>
              <w:t>A</w:t>
            </w:r>
          </w:p>
        </w:tc>
        <w:tc>
          <w:tcPr>
            <w:tcW w:type="dxa" w:w="1337"/>
          </w:tcPr>
          <w:p>
            <w:r>
              <w:rPr>
                <w:sz w:val="18"/>
              </w:rPr>
              <w:t>akshat@bit.ac.in</w:t>
            </w:r>
          </w:p>
        </w:tc>
        <w:tc>
          <w:tcPr>
            <w:tcW w:type="dxa" w:w="1337"/>
          </w:tcPr>
          <w:p>
            <w:r>
              <w:rPr>
                <w:sz w:val="18"/>
              </w:rPr>
              <w:t>9xxxxxxxxx</w:t>
            </w:r>
          </w:p>
        </w:tc>
        <w:tc>
          <w:tcPr>
            <w:tcW w:type="dxa" w:w="1337"/>
          </w:tcPr>
          <w:p>
            <w:r>
              <w:rPr>
                <w:sz w:val="18"/>
              </w:rPr>
            </w:r>
          </w:p>
        </w:tc>
      </w:tr>
      <w:tr>
        <w:tc>
          <w:tcPr>
            <w:tcW w:type="dxa" w:w="1337"/>
          </w:tcPr>
          <w:p>
            <w:r>
              <w:rPr>
                <w:sz w:val="18"/>
              </w:rPr>
              <w:t>2</w:t>
            </w:r>
          </w:p>
        </w:tc>
        <w:tc>
          <w:tcPr>
            <w:tcW w:type="dxa" w:w="1337"/>
          </w:tcPr>
          <w:p>
            <w:r>
              <w:rPr>
                <w:sz w:val="18"/>
              </w:rPr>
              <w:t>Reg No. 2</w:t>
            </w:r>
          </w:p>
        </w:tc>
        <w:tc>
          <w:tcPr>
            <w:tcW w:type="dxa" w:w="1337"/>
          </w:tcPr>
          <w:p>
            <w:r>
              <w:rPr>
                <w:sz w:val="18"/>
              </w:rPr>
              <w:t>Chandan V</w:t>
            </w:r>
          </w:p>
        </w:tc>
        <w:tc>
          <w:tcPr>
            <w:tcW w:type="dxa" w:w="1337"/>
          </w:tcPr>
          <w:p>
            <w:r>
              <w:rPr>
                <w:sz w:val="18"/>
              </w:rPr>
              <w:t>A</w:t>
            </w:r>
          </w:p>
        </w:tc>
        <w:tc>
          <w:tcPr>
            <w:tcW w:type="dxa" w:w="1337"/>
          </w:tcPr>
          <w:p>
            <w:r>
              <w:rPr>
                <w:sz w:val="18"/>
              </w:rPr>
              <w:t>chandan@bit.ac.in</w:t>
            </w:r>
          </w:p>
        </w:tc>
        <w:tc>
          <w:tcPr>
            <w:tcW w:type="dxa" w:w="1337"/>
          </w:tcPr>
          <w:p>
            <w:r>
              <w:rPr>
                <w:sz w:val="18"/>
              </w:rPr>
              <w:t>9xxxxxxxxx</w:t>
            </w:r>
          </w:p>
        </w:tc>
        <w:tc>
          <w:tcPr>
            <w:tcW w:type="dxa" w:w="1337"/>
          </w:tcPr>
          <w:p>
            <w:r>
              <w:rPr>
                <w:sz w:val="18"/>
              </w:rPr>
            </w:r>
          </w:p>
        </w:tc>
      </w:tr>
      <w:tr>
        <w:tc>
          <w:tcPr>
            <w:tcW w:type="dxa" w:w="1337"/>
          </w:tcPr>
          <w:p>
            <w:r>
              <w:rPr>
                <w:sz w:val="18"/>
              </w:rPr>
              <w:t>3</w:t>
            </w:r>
          </w:p>
        </w:tc>
        <w:tc>
          <w:tcPr>
            <w:tcW w:type="dxa" w:w="1337"/>
          </w:tcPr>
          <w:p>
            <w:r>
              <w:rPr>
                <w:sz w:val="18"/>
              </w:rPr>
              <w:t>Reg No. 3</w:t>
            </w:r>
          </w:p>
        </w:tc>
        <w:tc>
          <w:tcPr>
            <w:tcW w:type="dxa" w:w="1337"/>
          </w:tcPr>
          <w:p>
            <w:r>
              <w:rPr>
                <w:sz w:val="18"/>
              </w:rPr>
              <w:t>Dinesh Balwan</w:t>
            </w:r>
          </w:p>
        </w:tc>
        <w:tc>
          <w:tcPr>
            <w:tcW w:type="dxa" w:w="1337"/>
          </w:tcPr>
          <w:p>
            <w:r>
              <w:rPr>
                <w:sz w:val="18"/>
              </w:rPr>
              <w:t>A</w:t>
            </w:r>
          </w:p>
        </w:tc>
        <w:tc>
          <w:tcPr>
            <w:tcW w:type="dxa" w:w="1337"/>
          </w:tcPr>
          <w:p>
            <w:r>
              <w:rPr>
                <w:sz w:val="18"/>
              </w:rPr>
              <w:t>dinesh@bit.ac.in</w:t>
            </w:r>
          </w:p>
        </w:tc>
        <w:tc>
          <w:tcPr>
            <w:tcW w:type="dxa" w:w="1337"/>
          </w:tcPr>
          <w:p>
            <w:r>
              <w:rPr>
                <w:sz w:val="18"/>
              </w:rPr>
              <w:t>9xxxxxxxxx</w:t>
            </w:r>
          </w:p>
        </w:tc>
        <w:tc>
          <w:tcPr>
            <w:tcW w:type="dxa" w:w="1337"/>
          </w:tcPr>
          <w:p>
            <w:r>
              <w:rPr>
                <w:sz w:val="18"/>
              </w:rPr>
            </w:r>
          </w:p>
        </w:tc>
      </w:tr>
      <w:tr>
        <w:tc>
          <w:tcPr>
            <w:tcW w:type="dxa" w:w="1337"/>
          </w:tcPr>
          <w:p>
            <w:r>
              <w:rPr>
                <w:sz w:val="18"/>
              </w:rPr>
              <w:t>4</w:t>
            </w:r>
          </w:p>
        </w:tc>
        <w:tc>
          <w:tcPr>
            <w:tcW w:type="dxa" w:w="1337"/>
          </w:tcPr>
          <w:p>
            <w:r>
              <w:rPr>
                <w:sz w:val="18"/>
              </w:rPr>
              <w:t>Reg No. 4</w:t>
            </w:r>
          </w:p>
        </w:tc>
        <w:tc>
          <w:tcPr>
            <w:tcW w:type="dxa" w:w="1337"/>
          </w:tcPr>
          <w:p>
            <w:r>
              <w:rPr>
                <w:sz w:val="18"/>
              </w:rPr>
              <w:t>Harsh Tewari</w:t>
            </w:r>
          </w:p>
        </w:tc>
        <w:tc>
          <w:tcPr>
            <w:tcW w:type="dxa" w:w="1337"/>
          </w:tcPr>
          <w:p>
            <w:r>
              <w:rPr>
                <w:sz w:val="18"/>
              </w:rPr>
              <w:t>A</w:t>
            </w:r>
          </w:p>
        </w:tc>
        <w:tc>
          <w:tcPr>
            <w:tcW w:type="dxa" w:w="1337"/>
          </w:tcPr>
          <w:p>
            <w:r>
              <w:rPr>
                <w:sz w:val="18"/>
              </w:rPr>
              <w:t>harsh@bit.ac.in</w:t>
            </w:r>
          </w:p>
        </w:tc>
        <w:tc>
          <w:tcPr>
            <w:tcW w:type="dxa" w:w="1337"/>
          </w:tcPr>
          <w:p>
            <w:r>
              <w:rPr>
                <w:sz w:val="18"/>
              </w:rPr>
              <w:t>9xxxxxxxxx</w:t>
            </w:r>
          </w:p>
        </w:tc>
        <w:tc>
          <w:tcPr>
            <w:tcW w:type="dxa" w:w="1337"/>
          </w:tcPr>
          <w:p>
            <w:r>
              <w:rPr>
                <w:sz w:val="18"/>
              </w:rPr>
            </w:r>
          </w:p>
        </w:tc>
      </w:tr>
    </w:tbl>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Project Title</w:t>
            </w:r>
          </w:p>
        </w:tc>
        <w:tc>
          <w:tcPr>
            <w:tcW w:type="dxa" w:w="4680"/>
          </w:tcPr>
          <w:p>
            <w:r>
              <w:rPr>
                <w:sz w:val="20"/>
              </w:rPr>
              <w:t>Academic Tracker: A Role-Based Learning Progression Platform</w:t>
            </w:r>
          </w:p>
        </w:tc>
      </w:tr>
      <w:tr>
        <w:tc>
          <w:tcPr>
            <w:tcW w:type="dxa" w:w="4680"/>
          </w:tcPr>
          <w:p>
            <w:r>
              <w:rPr>
                <w:b/>
                <w:sz w:val="20"/>
              </w:rPr>
              <w:t>Project Domain</w:t>
            </w:r>
          </w:p>
        </w:tc>
        <w:tc>
          <w:tcPr>
            <w:tcW w:type="dxa" w:w="4680"/>
          </w:tcPr>
          <w:p>
            <w:r>
              <w:rPr>
                <w:sz w:val="20"/>
              </w:rPr>
              <w:t>Web Development, Educational Technology, Data Analytics</w:t>
            </w:r>
          </w:p>
        </w:tc>
      </w:tr>
      <w:tr>
        <w:tc>
          <w:tcPr>
            <w:tcW w:type="dxa" w:w="4680"/>
          </w:tcPr>
          <w:p>
            <w:r>
              <w:rPr>
                <w:b/>
                <w:sz w:val="20"/>
              </w:rPr>
              <w:t>Guide Name</w:t>
            </w:r>
          </w:p>
        </w:tc>
        <w:tc>
          <w:tcPr>
            <w:tcW w:type="dxa" w:w="4680"/>
          </w:tcPr>
          <w:p>
            <w:r>
              <w:rPr>
                <w:sz w:val="20"/>
              </w:rPr>
              <w:t>Dr. [Guide Name]</w:t>
            </w:r>
          </w:p>
        </w:tc>
      </w:tr>
    </w:tbl>
    <w:p/>
    <w:p/>
    <w:p>
      <w:pPr>
        <w:jc w:val="center"/>
      </w:pPr>
      <w:r>
        <w:rPr>
          <w:b/>
          <w:sz w:val="22"/>
        </w:rPr>
        <w:t>FOR OFFICE USE ONLY</w:t>
      </w:r>
    </w:p>
    <w:tbl>
      <w:tblPr>
        <w:tblStyle w:val="LightGrid-Accent1"/>
        <w:tblW w:type="auto" w:w="0"/>
        <w:tblLook w:firstColumn="1" w:firstRow="1" w:lastColumn="0" w:lastRow="0" w:noHBand="0" w:noVBand="1" w:val="04A0"/>
      </w:tblPr>
      <w:tblGrid>
        <w:gridCol w:w="4680"/>
        <w:gridCol w:w="4680"/>
      </w:tblGrid>
      <w:tr>
        <w:tc>
          <w:tcPr>
            <w:tcW w:type="dxa" w:w="4680"/>
          </w:tcPr>
          <w:p>
            <w:r>
              <w:rPr>
                <w:sz w:val="18"/>
              </w:rPr>
              <w:t>Date of Submission</w:t>
            </w:r>
          </w:p>
        </w:tc>
        <w:tc>
          <w:tcPr>
            <w:tcW w:type="dxa" w:w="4680"/>
          </w:tcPr>
          <w:p/>
        </w:tc>
      </w:tr>
      <w:tr>
        <w:tc>
          <w:tcPr>
            <w:tcW w:type="dxa" w:w="4680"/>
          </w:tcPr>
          <w:p>
            <w:r>
              <w:rPr>
                <w:sz w:val="18"/>
              </w:rPr>
              <w:t>Verified by (HOD)</w:t>
            </w:r>
          </w:p>
        </w:tc>
        <w:tc>
          <w:tcPr>
            <w:tcW w:type="dxa" w:w="4680"/>
          </w:tcPr>
          <w:p/>
        </w:tc>
      </w:tr>
      <w:tr>
        <w:tc>
          <w:tcPr>
            <w:tcW w:type="dxa" w:w="4680"/>
          </w:tcPr>
          <w:p>
            <w:r>
              <w:rPr>
                <w:sz w:val="18"/>
              </w:rPr>
              <w:t>Remarks</w:t>
            </w:r>
          </w:p>
        </w:tc>
        <w:tc>
          <w:tcPr>
            <w:tcW w:type="dxa" w:w="4680"/>
          </w:tcPr>
          <w:p/>
        </w:tc>
      </w:tr>
    </w:tbl>
    <w:p>
      <w:r>
        <w:br w:type="page"/>
      </w:r>
    </w:p>
    <w:p>
      <w:pPr>
        <w:jc w:val="center"/>
      </w:pPr>
      <w:r>
        <w:rPr>
          <w:b/>
          <w:sz w:val="26"/>
        </w:rPr>
        <w:t>1. ABSTRACT</w:t>
      </w:r>
    </w:p>
    <w:p>
      <w:r>
        <w:rPr>
          <w:sz w:val="22"/>
        </w:rPr>
        <w:t>Self-directed learning today fails not from a shortage of material but from a shortage of structure and accountability. This project proposes a role-based, institution-scoped learning progression platform in which teachers author courses as ordered stages and sub-stages, each linked to curated documentation and video resources and closed by a short self-assessment quiz.</w:t>
        <w:br/>
        <w:br/>
        <w:t>Students follow a published course while the system records verified progress, and sustained effort is encouraged through streak-based engagement scoring. Teachers receive cohort analytics that identify exactly where learners stall, and administrators provision every account, keeping the deployment closed to a single institution. The system is delivered as a web application.</w:t>
        <w:br/>
        <w:br/>
        <w:t>The platform addresses the fundamental gap in self-directed learning by providing structure, verification, and accountability mechanisms. Unlike existing solutions that either focus on administrative workflows or operate as closed catalogues, this system enables teachers to author tailored learning paths while maintaining visibility into how their students progress through those paths. The combination of structured progression, verified assessments, and actionable analytics creates a comprehensive solution for improving completion rates and learning outcomes in institutional contexts.</w:t>
      </w:r>
    </w:p>
    <w:p>
      <w:r>
        <w:br w:type="page"/>
      </w:r>
    </w:p>
    <w:p>
      <w:pPr>
        <w:jc w:val="center"/>
      </w:pPr>
      <w:r>
        <w:rPr>
          <w:b/>
          <w:sz w:val="26"/>
        </w:rPr>
        <w:t>2. INTRODUCTION</w:t>
      </w:r>
    </w:p>
    <w:p>
      <w:r>
        <w:rPr>
          <w:sz w:val="22"/>
        </w:rPr>
        <w:t>The volume of high-quality technical learning material available at no cost has never been greater. Documentation, lecture recordings, tutorial series and reference texts covering subjects such as data structures, operating systems and web development are freely accessible to any student with an internet connection. Despite this abundance, a large proportion of learners who begin studying a subject independently do not finish it. Analysis of a large sample of open online courses reports a median completion rate of only 12.6 percent, ranging from 0.7 percent to 52.1 percent across courses. The limiting factor is therefore not the availability of content but the absence of a defined sequence, a reliable sense of position within that sequence, and any external accountability for continuing.</w:t>
        <w:br/>
        <w:br/>
        <w:t>Existing platforms address only parts of this gap. Institutional learning management systems are built primarily around administrative workflows — distributing assignments, collecting submissions and recording marks — and consequently track compliance rather than the progression of understanding. General-purpose note and bookmark applications preserve links but impose no ordering, no prerequisite relationships and no verification that material has actually been engaged with. Large open course platforms provide well-structured content but operate as closed catalogues; a teacher cannot compose a sequence tailored to a particular class, nor observe how that specific cohort is moving through it. In every case, the person best placed to design a learning path for a group of students — their own teacher — has no tool that turns that path into something a student can follow and a teacher can observe.</w:t>
        <w:br/>
        <w:br/>
        <w:t>This project proposes a web-based learning progression platform that closes this gap. Teachers author a course as an ordered set of stages, each divided into sub-stages that point to curated external resources and conclude with a short self-assessment quiz. Students follow published courses at their own pace while the system maintains a verified record of their progression. Teachers are provided with cohort-level analytics that surface the specific points at which learners are stalling, and all accounts are issued by an administrator, restricting the deployment to a single verified institution.</w:t>
      </w:r>
    </w:p>
    <w:p>
      <w:r>
        <w:br w:type="page"/>
      </w:r>
    </w:p>
    <w:p>
      <w:pPr>
        <w:jc w:val="center"/>
      </w:pPr>
      <w:r>
        <w:rPr>
          <w:b/>
          <w:sz w:val="26"/>
        </w:rPr>
        <w:t>3. PROBLEM STATEMENT</w:t>
      </w:r>
    </w:p>
    <w:p>
      <w:r>
        <w:rPr>
          <w:sz w:val="22"/>
        </w:rPr>
        <w:t>To design and develop a role-based web platform that allows teachers to author structured, stage-wise self-learning courses from curated resources, enables students to follow those courses with verified progress tracking and self-assessment checkpoints, and provides teachers with cohort-level analytics identifying where learners are stalling.</w:t>
      </w:r>
    </w:p>
    <w:p/>
    <w:p>
      <w:pPr>
        <w:jc w:val="center"/>
      </w:pPr>
      <w:r>
        <w:rPr>
          <w:b/>
          <w:sz w:val="26"/>
        </w:rPr>
        <w:t>4. OBJECTIVES</w:t>
      </w:r>
    </w:p>
    <w:p>
      <w:r>
        <w:rPr>
          <w:b/>
          <w:sz w:val="20"/>
        </w:rPr>
        <w:t xml:space="preserve">• Role-Based Institutional Access Control: </w:t>
      </w:r>
      <w:r>
        <w:rPr>
          <w:sz w:val="20"/>
        </w:rPr>
        <w:t>Implement three distinct roles — student, teacher and administrator — with strictly separated capabilities. All accounts are provisioned by the administrator rather than through public registration, ensuring that a deployment remains scoped to a single verified institution and that teaching and enrolment privileges cannot be self-assigned.</w:t>
      </w:r>
    </w:p>
    <w:p>
      <w:r>
        <w:rPr>
          <w:b/>
          <w:sz w:val="20"/>
        </w:rPr>
        <w:t xml:space="preserve">• Structured Course Authoring: </w:t>
      </w:r>
      <w:r>
        <w:rPr>
          <w:sz w:val="20"/>
        </w:rPr>
        <w:t>Enable teachers to compose a course as an ordered hierarchy of stages and sub-stages, attaching curated external resources such as documentation pages and video lectures to each sub-stage. Authoring supports drafting, publishing and subsequent revision of a course.</w:t>
      </w:r>
    </w:p>
    <w:p>
      <w:r>
        <w:rPr>
          <w:b/>
          <w:sz w:val="20"/>
        </w:rPr>
        <w:t xml:space="preserve">• Verified Progress Tracking: </w:t>
      </w:r>
      <w:r>
        <w:rPr>
          <w:sz w:val="20"/>
        </w:rPr>
        <w:t>Maintain a persistent, per-student record of position within a course at sub-stage granularity. A sub-stage is marked complete only when its associated self-assessment has been attempted, so that recorded progress reflects genuine engagement.</w:t>
      </w:r>
    </w:p>
    <w:p>
      <w:r>
        <w:rPr>
          <w:b/>
          <w:sz w:val="20"/>
        </w:rPr>
        <w:t xml:space="preserve">• Retrieval-Based Self-Assessment: </w:t>
      </w:r>
      <w:r>
        <w:rPr>
          <w:sz w:val="20"/>
        </w:rPr>
        <w:t>Provide a short teacher-authored objective quiz at the close of each stage, presented as a knowledge checkpoint rather than a barrier. Attempting the quiz is required to advance, but the score obtained is not.</w:t>
      </w:r>
    </w:p>
    <w:p>
      <w:r>
        <w:rPr>
          <w:b/>
          <w:sz w:val="20"/>
        </w:rPr>
        <w:t xml:space="preserve">• Instructor-Facing Learning Analytics: </w:t>
      </w:r>
      <w:r>
        <w:rPr>
          <w:sz w:val="20"/>
        </w:rPr>
        <w:t>Aggregate individual progress and assessment data into a cohort view for the authoring teacher, reporting distribution of learners across stages and the specific sub-stages at which the largest proportion of students stall or abandon the course.</w:t>
      </w:r>
    </w:p>
    <w:p>
      <w:r>
        <w:br w:type="page"/>
      </w:r>
    </w:p>
    <w:p>
      <w:pPr>
        <w:jc w:val="center"/>
      </w:pPr>
      <w:r>
        <w:rPr>
          <w:b/>
          <w:sz w:val="26"/>
        </w:rPr>
        <w:t>4. OBJECTIVES (continued)</w:t>
      </w:r>
    </w:p>
    <w:p>
      <w:r>
        <w:rPr>
          <w:b/>
          <w:sz w:val="20"/>
        </w:rPr>
        <w:t xml:space="preserve">• Sustained Engagement Mechanisms: </w:t>
      </w:r>
      <w:r>
        <w:rPr>
          <w:sz w:val="20"/>
        </w:rPr>
        <w:t>Encourage continued participation through consistency-oriented metrics such as activity streaks and course-scoped leaderboards, deliberately weighted towards regularity of study rather than raw speed of completion, so that the mechanism rewards sustained effort instead of superficial progression.</w:t>
      </w:r>
    </w:p>
    <w:p>
      <w:r>
        <w:rPr>
          <w:b/>
          <w:sz w:val="20"/>
        </w:rPr>
        <w:t xml:space="preserve">• Resource Integrity Maintenance: </w:t>
      </w:r>
      <w:r>
        <w:rPr>
          <w:sz w:val="20"/>
        </w:rPr>
        <w:t>Periodically verify the reachability of every external resource referenced by a published course and flag unreachable links to the authoring teacher, preventing the gradual decay of curated material that undermines the long-term usefulness of link-based learning paths.</w:t>
      </w:r>
    </w:p>
    <w:p/>
    <w:p>
      <w:pPr>
        <w:jc w:val="center"/>
      </w:pPr>
      <w:r>
        <w:rPr>
          <w:b/>
          <w:sz w:val="26"/>
        </w:rPr>
        <w:t>5. BLOCK DIAGRAM / ARCHITECTURE</w:t>
      </w:r>
    </w:p>
    <w:p>
      <w:r>
        <w:t>[Insert architecture_diagram.png here]</w:t>
      </w:r>
    </w:p>
    <w:p>
      <w:r>
        <w:rPr>
          <w:sz w:val="22"/>
        </w:rPr>
        <w:t>The system follows a layered architecture in which each layer depends only on the layer directly beneath it. The presentation layer exposes three role-specific interfaces rendered from a single client application. The API and security layer terminates every incoming request, establishes the identity and role of the caller, and enforces the access scope permitted to that role before any business logic executes. The application service layer contains the independent services that constitute the system's functionality. The data access layer isolates these services from the storage engine by mapping domain entities to relational structures and guaranteeing transactional consistency. The data persistence layer holds the relational schema. A separate scheduled job layer operates on a time trigger rather than on user requests, performing background maintenance and aggregation independently of the request path. External dependencies fall outside the system boundary and are accessed through well-defined interfaces.</w:t>
      </w:r>
    </w:p>
    <w:p>
      <w:r>
        <w:br w:type="page"/>
      </w:r>
    </w:p>
    <w:p>
      <w:pPr>
        <w:jc w:val="center"/>
      </w:pPr>
      <w:r>
        <w:rPr>
          <w:b/>
          <w:sz w:val="26"/>
        </w:rPr>
        <w:t>6. MODULES / COMPONENTS DESCRIPTION</w:t>
      </w:r>
    </w:p>
    <w:p>
      <w:r>
        <w:rPr>
          <w:b/>
          <w:sz w:val="22"/>
        </w:rPr>
        <w:t>1. Identity, Role and Provisioning Module</w:t>
      </w:r>
    </w:p>
    <w:p>
      <w:pPr/>
      <w:r>
        <w:rPr>
          <w:sz w:val="20"/>
        </w:rPr>
        <w:t>This module governs who may enter the system and what each entrant is permitted to do. Since the platform is intended for deployment within a single institution, it deliberately omits public self-registration; instead, the administrator creates teacher and student accounts, which are then activated by the account holder. The module issues and verifies signed session tokens on each request, resolves the caller's role, and enforces the capability boundaries between the three roles.</w:t>
      </w:r>
    </w:p>
    <w:p>
      <w:r>
        <w:rPr>
          <w:b/>
          <w:sz w:val="22"/>
        </w:rPr>
        <w:t>2. Course Authoring and Versioning Module</w:t>
      </w:r>
    </w:p>
    <w:p>
      <w:pPr/>
      <w:r>
        <w:rPr>
          <w:sz w:val="20"/>
        </w:rPr>
        <w:t>This module provides teachers with the facilities to construct a course as an ordered hierarchy. A course is divided into stages, each stage into sub-stages, and each sub-stage carries one or more curated external resources together with a short descriptive note. Courses exist first in a draft state visible only to the author, and become available to students on publication.</w:t>
      </w:r>
    </w:p>
    <w:p>
      <w:r>
        <w:rPr>
          <w:b/>
          <w:sz w:val="22"/>
        </w:rPr>
        <w:t>3. Progress Tracking Module</w:t>
      </w:r>
    </w:p>
    <w:p>
      <w:pPr/>
      <w:r>
        <w:rPr>
          <w:sz w:val="20"/>
        </w:rPr>
        <w:t>This module maintains the authoritative record of each learner's position within every course they are following. Progress is stored at sub-stage granularity, capturing the state of each unit, the time at which it was opened and the time at which it was completed. Completion of a stage is recognised only once its closing self-assessment has been attempted.</w:t>
      </w:r>
    </w:p>
    <w:p>
      <w:r>
        <w:rPr>
          <w:b/>
          <w:sz w:val="22"/>
        </w:rPr>
        <w:t>4. Assessment Module</w:t>
      </w:r>
    </w:p>
    <w:p>
      <w:pPr/>
      <w:r>
        <w:rPr>
          <w:sz w:val="20"/>
        </w:rPr>
        <w:t>This module manages the objective self-assessment attached to the end of each stage. Teachers author questions, options and the correct response through the teacher console, and the module evaluates a student's submission automatically on completion. Every attempt is persisted with its per-question outcome.</w:t>
      </w:r>
    </w:p>
    <w:p>
      <w:r>
        <w:br w:type="page"/>
      </w:r>
    </w:p>
    <w:p>
      <w:pPr>
        <w:jc w:val="center"/>
      </w:pPr>
      <w:r>
        <w:rPr>
          <w:b/>
          <w:sz w:val="26"/>
        </w:rPr>
        <w:t>6. MODULES / COMPONENTS DESCRIPTION (continued)</w:t>
      </w:r>
    </w:p>
    <w:p>
      <w:r>
        <w:rPr>
          <w:b/>
          <w:sz w:val="22"/>
        </w:rPr>
        <w:t>5. Learning Analytics Module</w:t>
      </w:r>
    </w:p>
    <w:p>
      <w:pPr/>
      <w:r>
        <w:rPr>
          <w:sz w:val="20"/>
        </w:rPr>
        <w:t>This module transforms the raw progress and assessment records of a cohort into an interpretable view for the authoring teacher. It reports the distribution of enrolled students across the stages of a course, the median and outlier time spent on each sub-stage, and the rate at which questions within each assessment are answered incorrectly. From these measures it identifies bottleneck points.</w:t>
      </w:r>
    </w:p>
    <w:p>
      <w:r>
        <w:rPr>
          <w:b/>
          <w:sz w:val="22"/>
        </w:rPr>
        <w:t>6. Engagement and Leaderboard Module</w:t>
      </w:r>
    </w:p>
    <w:p>
      <w:pPr/>
      <w:r>
        <w:rPr>
          <w:sz w:val="20"/>
        </w:rPr>
        <w:t>This module computes and exposes the metrics intended to sustain learner motivation over the duration of a course. It maintains a per-student activity streak reflecting consecutive days of meaningful progress, derives a consistency score weighted towards regularity rather than volume, and publishes a leaderboard scoped to a single course.</w:t>
      </w:r>
    </w:p>
    <w:p>
      <w:r>
        <w:rPr>
          <w:b/>
          <w:sz w:val="22"/>
        </w:rPr>
        <w:t>7. Resource Integrity and Notification Module</w:t>
      </w:r>
    </w:p>
    <w:p>
      <w:pPr/>
      <w:r>
        <w:rPr>
          <w:sz w:val="20"/>
        </w:rPr>
        <w:t>This module executes the platform's time-triggered background work. It periodically issues reachability checks against every external resource referenced by a published course and flags those that no longer respond, alerting the authoring teacher. The same scheduler recomputes engagement metrics and aggregated analytics outside the request path.</w:t>
      </w:r>
    </w:p>
    <w:p/>
    <w:p>
      <w:pPr>
        <w:jc w:val="center"/>
      </w:pPr>
      <w:r>
        <w:rPr>
          <w:b/>
          <w:sz w:val="26"/>
        </w:rPr>
        <w:t>7. EXPECTED OUTCOME</w:t>
      </w:r>
    </w:p>
    <w:p>
      <w:r>
        <w:rPr>
          <w:sz w:val="20"/>
        </w:rPr>
        <w:t>• A deployable multi-role web application supporting three distinct roles, in which a teacher can author and publish a complete structured course and a student can follow it end to end with progress persisted across sessions and devices.</w:t>
      </w:r>
    </w:p>
    <w:p>
      <w:r>
        <w:rPr>
          <w:sz w:val="20"/>
        </w:rPr>
        <w:t>• Verified rather than self-declared progress records, where advancement is tied to an attempted assessment, producing a record of learner position that is meaningfully more reliable than a manually maintained checklist.</w:t>
      </w:r>
    </w:p>
    <w:p>
      <w:r>
        <w:br w:type="page"/>
      </w:r>
    </w:p>
    <w:p>
      <w:pPr>
        <w:jc w:val="center"/>
      </w:pPr>
      <w:r>
        <w:rPr>
          <w:b/>
          <w:sz w:val="26"/>
        </w:rPr>
        <w:t>7. EXPECTED OUTCOME (continued)</w:t>
      </w:r>
    </w:p>
    <w:p>
      <w:r>
        <w:rPr>
          <w:sz w:val="20"/>
        </w:rPr>
        <w:t>• Actionable cohort insight for teachers, identifying the specific sub-stages at which a class is stalling, allowing instructional intervention to be directed at concrete points of difficulty.</w:t>
      </w:r>
    </w:p>
    <w:p>
      <w:r>
        <w:rPr>
          <w:sz w:val="20"/>
        </w:rPr>
        <w:t>• Measurable improvement in course continuation, demonstrating that structured progression combined with checkpoint assessment and engagement feedback sustains participation further into a course.</w:t>
      </w:r>
    </w:p>
    <w:p>
      <w:r>
        <w:rPr>
          <w:sz w:val="20"/>
        </w:rPr>
        <w:t>• A reusable, subject-independent course model verified by populating the platform with courses in distinct domains such as data structures, operating systems and web development.</w:t>
      </w:r>
    </w:p>
    <w:p>
      <w:r>
        <w:rPr>
          <w:sz w:val="20"/>
        </w:rPr>
        <w:t>• A foundation for institutional deployment, establishing a practical basis for adoption by a school or college as a self-contained instance.</w:t>
      </w:r>
    </w:p>
    <w:p/>
    <w:p>
      <w:pPr>
        <w:jc w:val="center"/>
      </w:pPr>
      <w:r>
        <w:rPr>
          <w:b/>
          <w:sz w:val="26"/>
        </w:rPr>
        <w:t>8. REFERENCES</w:t>
      </w:r>
    </w:p>
    <w:p>
      <w:r>
        <w:rPr>
          <w:sz w:val="20"/>
        </w:rPr>
        <w:t>[1] K. Jordan, "Massive open online course completion rates revisited: Assessment, length and attrition," Int. Rev. Res. Open Distrib. Learn., vol. 16, no. 3, pp. 341–358, Jun. 2015, doi: 10.19173/irrodl.v16i3.2112.</w:t>
      </w:r>
    </w:p>
    <w:p>
      <w:r>
        <w:rPr>
          <w:sz w:val="20"/>
        </w:rPr>
        <w:t>[2] K. S. Hone and G. R. El Said, "Exploring the factors affecting MOOC retention: A survey study," Comput. Educ., vol. 98, pp. 157–168, Jul. 2016, doi: 10.1016/j.compedu.2016.03.016.</w:t>
      </w:r>
    </w:p>
    <w:p>
      <w:r>
        <w:rPr>
          <w:sz w:val="20"/>
        </w:rPr>
        <w:t>[3] J. A. Greene, C. A. Oswald, and J. Pomerantz, "Predictors of retention and achievement in a massive open online course," Amer. Educ. Res. J., vol. 52, no. 5, pp. 925–955, Oct. 2015, doi: 10.3102/0002831215584621.</w:t>
      </w:r>
    </w:p>
    <w:p>
      <w:r>
        <w:rPr>
          <w:sz w:val="20"/>
        </w:rPr>
        <w:t>[4] H. L. Roediger and J. D. Karpicke, "Test-enhanced learning: Taking memory tests improves long-term retention," Psychol. Sci., vol. 17, no. 3, pp. 249–255, Mar. 2006, doi: 10.1111/j.1467-9280.2006.01693.x.</w:t>
      </w:r>
    </w:p>
    <w:p>
      <w:r>
        <w:rPr>
          <w:sz w:val="20"/>
        </w:rPr>
        <w:t>[5] S. Freeman, S. L. Eddy, M. McDonough, M. K. Smith, N. Okoroafor, H. Jordt, and M. P. Wenderoth, "Active learning increases student performance in science, engineering, and mathematics," Proc. Nat. Acad. Sci. USA, vol. 111, no. 23, pp. 8410–8415, Jun. 2014, doi: 10.1073/pnas.1319030111.</w:t>
      </w:r>
    </w:p>
    <w:p>
      <w:r>
        <w:rPr>
          <w:sz w:val="20"/>
        </w:rPr>
        <w:t>[6] J. Hamari, J. Koivisto, and H. Sarsa, "Does gamification work? — A literature review of empirical studies on gamification," in Proc. 47th Hawaii Int. Conf. Syst. Sci. (HICSS), Waikoloa, HI, USA, Jan. 2014, pp. 3025–3034, doi: 10.1109/HICSS.2014.377.</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