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BANGALORE INSTITUTE OF TECHNOLOGY</w:t>
        <w:br/>
      </w:r>
    </w:p>
    <w:p>
      <w:pPr>
        <w:jc w:val="center"/>
      </w:pPr>
      <w:r>
        <w:rPr>
          <w:sz w:val="20"/>
        </w:rPr>
        <w:t>An Autonomous Institution affiliated to VTU, Belagavi</w:t>
        <w:br/>
      </w:r>
      <w:r>
        <w:rPr>
          <w:sz w:val="20"/>
        </w:rPr>
        <w:t>K.R. Road, V.V.Pura, Bengaluru-560 004</w:t>
      </w:r>
    </w:p>
    <w:p/>
    <w:p>
      <w:pPr>
        <w:jc w:val="center"/>
      </w:pPr>
      <w:r>
        <w:rPr>
          <w:b/>
          <w:sz w:val="22"/>
        </w:rPr>
        <w:t>DEPARTMENT OF COMPUTER SCIENCE &amp; ENGINEERING</w:t>
      </w:r>
    </w:p>
    <w:p/>
    <w:p>
      <w:pPr>
        <w:jc w:val="center"/>
      </w:pPr>
      <w:r>
        <w:rPr>
          <w:b/>
          <w:sz w:val="24"/>
        </w:rPr>
        <w:t>Minor-Project Synopsis</w:t>
        <w:br/>
      </w:r>
      <w:r>
        <w:rPr>
          <w:sz w:val="20"/>
        </w:rPr>
        <w:t>V – Semester, 2026-2027 (ODD)</w:t>
      </w:r>
    </w:p>
    <w:p/>
    <w:tbl>
      <w:tblPr>
        <w:tblStyle w:val="LightGrid-Accent1"/>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720"/>
          </w:tcPr>
          <w:p>
            <w:pPr>
              <w:jc w:val="center"/>
            </w:pPr>
            <w:r>
              <w:rPr>
                <w:b/>
                <w:sz w:val="18"/>
              </w:rPr>
              <w:t>Sl. No.</w:t>
            </w:r>
          </w:p>
        </w:tc>
        <w:tc>
          <w:tcPr>
            <w:tcW w:type="dxa" w:w="1728"/>
          </w:tcPr>
          <w:p>
            <w:pPr>
              <w:jc w:val="center"/>
            </w:pPr>
            <w:r>
              <w:rPr>
                <w:b/>
                <w:sz w:val="18"/>
              </w:rPr>
              <w:t>USN</w:t>
            </w:r>
          </w:p>
        </w:tc>
        <w:tc>
          <w:tcPr>
            <w:tcW w:type="dxa" w:w="2592"/>
          </w:tcPr>
          <w:p>
            <w:pPr>
              <w:jc w:val="center"/>
            </w:pPr>
            <w:r>
              <w:rPr>
                <w:b/>
                <w:sz w:val="18"/>
              </w:rPr>
              <w:t>NAME</w:t>
            </w:r>
          </w:p>
        </w:tc>
        <w:tc>
          <w:tcPr>
            <w:tcW w:type="dxa" w:w="864"/>
          </w:tcPr>
          <w:p>
            <w:pPr>
              <w:jc w:val="center"/>
            </w:pPr>
            <w:r>
              <w:rPr>
                <w:b/>
                <w:sz w:val="18"/>
              </w:rPr>
              <w:t>Sec</w:t>
            </w:r>
          </w:p>
        </w:tc>
        <w:tc>
          <w:tcPr>
            <w:tcW w:type="dxa" w:w="2880"/>
          </w:tcPr>
          <w:p>
            <w:pPr>
              <w:jc w:val="center"/>
            </w:pPr>
            <w:r>
              <w:rPr>
                <w:b/>
                <w:sz w:val="18"/>
              </w:rPr>
              <w:t>Email-Id</w:t>
            </w:r>
          </w:p>
        </w:tc>
        <w:tc>
          <w:tcPr>
            <w:tcW w:type="dxa" w:w="1728"/>
          </w:tcPr>
          <w:p>
            <w:pPr>
              <w:jc w:val="center"/>
            </w:pPr>
            <w:r>
              <w:rPr>
                <w:b/>
                <w:sz w:val="18"/>
              </w:rPr>
              <w:t>Phone No</w:t>
            </w:r>
          </w:p>
        </w:tc>
        <w:tc>
          <w:tcPr>
            <w:tcW w:type="dxa" w:w="1152"/>
          </w:tcPr>
          <w:p>
            <w:pPr>
              <w:jc w:val="center"/>
            </w:pPr>
            <w:r>
              <w:rPr>
                <w:b/>
                <w:sz w:val="18"/>
              </w:rPr>
              <w:t>Signature</w:t>
            </w:r>
          </w:p>
        </w:tc>
      </w:tr>
      <w:tr>
        <w:tc>
          <w:tcPr>
            <w:tcW w:type="dxa" w:w="720"/>
          </w:tcPr>
          <w:p>
            <w:r>
              <w:rPr>
                <w:sz w:val="18"/>
              </w:rPr>
              <w:t>1</w:t>
            </w:r>
          </w:p>
        </w:tc>
        <w:tc>
          <w:tcPr>
            <w:tcW w:type="dxa" w:w="1728"/>
          </w:tcPr>
          <w:p>
            <w:r>
              <w:rPr>
                <w:sz w:val="18"/>
              </w:rPr>
              <w:t>Reg No. 1</w:t>
            </w:r>
          </w:p>
        </w:tc>
        <w:tc>
          <w:tcPr>
            <w:tcW w:type="dxa" w:w="2592"/>
          </w:tcPr>
          <w:p>
            <w:r>
              <w:rPr>
                <w:sz w:val="18"/>
              </w:rPr>
              <w:t>Akshat Prashar</w:t>
            </w:r>
          </w:p>
        </w:tc>
        <w:tc>
          <w:tcPr>
            <w:tcW w:type="dxa" w:w="864"/>
          </w:tcPr>
          <w:p>
            <w:r>
              <w:rPr>
                <w:sz w:val="18"/>
              </w:rPr>
              <w:t>A</w:t>
            </w:r>
          </w:p>
        </w:tc>
        <w:tc>
          <w:tcPr>
            <w:tcW w:type="dxa" w:w="2880"/>
          </w:tcPr>
          <w:p>
            <w:r>
              <w:rPr>
                <w:sz w:val="18"/>
              </w:rPr>
              <w:t>akshat@bit.ac.in</w:t>
            </w:r>
          </w:p>
        </w:tc>
        <w:tc>
          <w:tcPr>
            <w:tcW w:type="dxa" w:w="1728"/>
          </w:tcPr>
          <w:p>
            <w:r>
              <w:rPr>
                <w:sz w:val="18"/>
              </w:rPr>
              <w:t>9xxxxxxxxx</w:t>
            </w:r>
          </w:p>
        </w:tc>
        <w:tc>
          <w:tcPr>
            <w:tcW w:type="dxa" w:w="1152"/>
          </w:tcPr>
          <w:p>
            <w:r>
              <w:rPr>
                <w:sz w:val="18"/>
              </w:rPr>
            </w:r>
          </w:p>
        </w:tc>
      </w:tr>
      <w:tr>
        <w:tc>
          <w:tcPr>
            <w:tcW w:type="dxa" w:w="720"/>
          </w:tcPr>
          <w:p>
            <w:r>
              <w:rPr>
                <w:sz w:val="18"/>
              </w:rPr>
              <w:t>2</w:t>
            </w:r>
          </w:p>
        </w:tc>
        <w:tc>
          <w:tcPr>
            <w:tcW w:type="dxa" w:w="1728"/>
          </w:tcPr>
          <w:p>
            <w:r>
              <w:rPr>
                <w:sz w:val="18"/>
              </w:rPr>
              <w:t>Reg No. 2</w:t>
            </w:r>
          </w:p>
        </w:tc>
        <w:tc>
          <w:tcPr>
            <w:tcW w:type="dxa" w:w="2592"/>
          </w:tcPr>
          <w:p>
            <w:r>
              <w:rPr>
                <w:sz w:val="18"/>
              </w:rPr>
              <w:t>Chandan V</w:t>
            </w:r>
          </w:p>
        </w:tc>
        <w:tc>
          <w:tcPr>
            <w:tcW w:type="dxa" w:w="864"/>
          </w:tcPr>
          <w:p>
            <w:r>
              <w:rPr>
                <w:sz w:val="18"/>
              </w:rPr>
              <w:t>A</w:t>
            </w:r>
          </w:p>
        </w:tc>
        <w:tc>
          <w:tcPr>
            <w:tcW w:type="dxa" w:w="2880"/>
          </w:tcPr>
          <w:p>
            <w:r>
              <w:rPr>
                <w:sz w:val="18"/>
              </w:rPr>
              <w:t>chandan@bit.ac.in</w:t>
            </w:r>
          </w:p>
        </w:tc>
        <w:tc>
          <w:tcPr>
            <w:tcW w:type="dxa" w:w="1728"/>
          </w:tcPr>
          <w:p>
            <w:r>
              <w:rPr>
                <w:sz w:val="18"/>
              </w:rPr>
              <w:t>9xxxxxxxxx</w:t>
            </w:r>
          </w:p>
        </w:tc>
        <w:tc>
          <w:tcPr>
            <w:tcW w:type="dxa" w:w="1152"/>
          </w:tcPr>
          <w:p>
            <w:r>
              <w:rPr>
                <w:sz w:val="18"/>
              </w:rPr>
            </w:r>
          </w:p>
        </w:tc>
      </w:tr>
      <w:tr>
        <w:tc>
          <w:tcPr>
            <w:tcW w:type="dxa" w:w="720"/>
          </w:tcPr>
          <w:p>
            <w:r>
              <w:rPr>
                <w:sz w:val="18"/>
              </w:rPr>
              <w:t>3</w:t>
            </w:r>
          </w:p>
        </w:tc>
        <w:tc>
          <w:tcPr>
            <w:tcW w:type="dxa" w:w="1728"/>
          </w:tcPr>
          <w:p>
            <w:r>
              <w:rPr>
                <w:sz w:val="18"/>
              </w:rPr>
              <w:t>Reg No. 3</w:t>
            </w:r>
          </w:p>
        </w:tc>
        <w:tc>
          <w:tcPr>
            <w:tcW w:type="dxa" w:w="2592"/>
          </w:tcPr>
          <w:p>
            <w:r>
              <w:rPr>
                <w:sz w:val="18"/>
              </w:rPr>
              <w:t>Dinesh Balwan</w:t>
            </w:r>
          </w:p>
        </w:tc>
        <w:tc>
          <w:tcPr>
            <w:tcW w:type="dxa" w:w="864"/>
          </w:tcPr>
          <w:p>
            <w:r>
              <w:rPr>
                <w:sz w:val="18"/>
              </w:rPr>
              <w:t>A</w:t>
            </w:r>
          </w:p>
        </w:tc>
        <w:tc>
          <w:tcPr>
            <w:tcW w:type="dxa" w:w="2880"/>
          </w:tcPr>
          <w:p>
            <w:r>
              <w:rPr>
                <w:sz w:val="18"/>
              </w:rPr>
              <w:t>dinesh@bit.ac.in</w:t>
            </w:r>
          </w:p>
        </w:tc>
        <w:tc>
          <w:tcPr>
            <w:tcW w:type="dxa" w:w="1728"/>
          </w:tcPr>
          <w:p>
            <w:r>
              <w:rPr>
                <w:sz w:val="18"/>
              </w:rPr>
              <w:t>9xxxxxxxxx</w:t>
            </w:r>
          </w:p>
        </w:tc>
        <w:tc>
          <w:tcPr>
            <w:tcW w:type="dxa" w:w="1152"/>
          </w:tcPr>
          <w:p>
            <w:r>
              <w:rPr>
                <w:sz w:val="18"/>
              </w:rPr>
            </w:r>
          </w:p>
        </w:tc>
      </w:tr>
      <w:tr>
        <w:tc>
          <w:tcPr>
            <w:tcW w:type="dxa" w:w="720"/>
          </w:tcPr>
          <w:p>
            <w:r>
              <w:rPr>
                <w:sz w:val="18"/>
              </w:rPr>
              <w:t>4</w:t>
            </w:r>
          </w:p>
        </w:tc>
        <w:tc>
          <w:tcPr>
            <w:tcW w:type="dxa" w:w="1728"/>
          </w:tcPr>
          <w:p>
            <w:r>
              <w:rPr>
                <w:sz w:val="18"/>
              </w:rPr>
              <w:t>Reg No. 4</w:t>
            </w:r>
          </w:p>
        </w:tc>
        <w:tc>
          <w:tcPr>
            <w:tcW w:type="dxa" w:w="2592"/>
          </w:tcPr>
          <w:p>
            <w:r>
              <w:rPr>
                <w:sz w:val="18"/>
              </w:rPr>
              <w:t>Harsh Tewari</w:t>
            </w:r>
          </w:p>
        </w:tc>
        <w:tc>
          <w:tcPr>
            <w:tcW w:type="dxa" w:w="864"/>
          </w:tcPr>
          <w:p>
            <w:r>
              <w:rPr>
                <w:sz w:val="18"/>
              </w:rPr>
              <w:t>A</w:t>
            </w:r>
          </w:p>
        </w:tc>
        <w:tc>
          <w:tcPr>
            <w:tcW w:type="dxa" w:w="2880"/>
          </w:tcPr>
          <w:p>
            <w:r>
              <w:rPr>
                <w:sz w:val="18"/>
              </w:rPr>
              <w:t>harsh@bit.ac.in</w:t>
            </w:r>
          </w:p>
        </w:tc>
        <w:tc>
          <w:tcPr>
            <w:tcW w:type="dxa" w:w="1728"/>
          </w:tcPr>
          <w:p>
            <w:r>
              <w:rPr>
                <w:sz w:val="18"/>
              </w:rPr>
              <w:t>9xxxxxxxxx</w:t>
            </w:r>
          </w:p>
        </w:tc>
        <w:tc>
          <w:tcPr>
            <w:tcW w:type="dxa" w:w="1152"/>
          </w:tcPr>
          <w:p>
            <w:r>
              <w:rPr>
                <w:sz w:val="18"/>
              </w:rPr>
            </w:r>
          </w:p>
        </w:tc>
      </w:tr>
    </w:tbl>
    <w:p/>
    <w:p>
      <w:r>
        <w:rPr>
          <w:b/>
          <w:sz w:val="20"/>
        </w:rPr>
        <w:t>MINOR-PROJECT DETAILS:</w:t>
      </w:r>
    </w:p>
    <w:tbl>
      <w:tblPr>
        <w:tblStyle w:val="LightGrid-Accent1"/>
        <w:tblW w:type="auto" w:w="0"/>
        <w:tblLook w:firstColumn="1" w:firstRow="1" w:lastColumn="0" w:lastRow="0" w:noHBand="0" w:noVBand="1" w:val="04A0"/>
      </w:tblPr>
      <w:tblGrid>
        <w:gridCol w:w="4680"/>
        <w:gridCol w:w="4680"/>
      </w:tblGrid>
      <w:tr>
        <w:tc>
          <w:tcPr>
            <w:tcW w:type="dxa" w:w="4680"/>
          </w:tcPr>
          <w:p>
            <w:r>
              <w:rPr>
                <w:b/>
                <w:sz w:val="20"/>
              </w:rPr>
              <w:t>Title:</w:t>
            </w:r>
          </w:p>
        </w:tc>
        <w:tc>
          <w:tcPr>
            <w:tcW w:type="dxa" w:w="4680"/>
          </w:tcPr>
          <w:p>
            <w:r>
              <w:rPr>
                <w:sz w:val="20"/>
              </w:rPr>
              <w:t>Academic Tracker: A Role-Based Learning Progression Platform</w:t>
            </w:r>
          </w:p>
        </w:tc>
      </w:tr>
      <w:tr>
        <w:tc>
          <w:tcPr>
            <w:tcW w:type="dxa" w:w="4680"/>
          </w:tcPr>
          <w:p>
            <w:r>
              <w:rPr>
                <w:b/>
                <w:sz w:val="20"/>
              </w:rPr>
              <w:t>Domain:</w:t>
            </w:r>
          </w:p>
        </w:tc>
        <w:tc>
          <w:tcPr>
            <w:tcW w:type="dxa" w:w="4680"/>
          </w:tcPr>
          <w:p>
            <w:r>
              <w:rPr>
                <w:sz w:val="20"/>
              </w:rPr>
              <w:t>Web Development, Educational Technology, Data Analytics</w:t>
            </w:r>
          </w:p>
        </w:tc>
      </w:tr>
    </w:tbl>
    <w:p/>
    <w:p>
      <w:r>
        <w:rPr>
          <w:b/>
          <w:sz w:val="20"/>
        </w:rPr>
        <w:t>For office use only:</w:t>
      </w:r>
    </w:p>
    <w:tbl>
      <w:tblPr>
        <w:tblStyle w:val="LightGrid-Accent1"/>
        <w:tblW w:type="auto" w:w="0"/>
        <w:tblLook w:firstColumn="1" w:firstRow="1" w:lastColumn="0" w:lastRow="0" w:noHBand="0" w:noVBand="1" w:val="04A0"/>
      </w:tblPr>
      <w:tblGrid>
        <w:gridCol w:w="4680"/>
        <w:gridCol w:w="4680"/>
      </w:tblGrid>
      <w:tr>
        <w:tc>
          <w:tcPr>
            <w:tcW w:type="dxa" w:w="4680"/>
          </w:tcPr>
          <w:p>
            <w:r>
              <w:rPr>
                <w:b/>
                <w:sz w:val="20"/>
              </w:rPr>
              <w:t>Group ID:</w:t>
            </w:r>
          </w:p>
        </w:tc>
        <w:tc>
          <w:tcPr>
            <w:tcW w:type="dxa" w:w="4680"/>
          </w:tcPr>
          <w:p/>
        </w:tc>
      </w:tr>
      <w:tr>
        <w:tc>
          <w:tcPr>
            <w:tcW w:type="dxa" w:w="4680"/>
          </w:tcPr>
          <w:p>
            <w:r>
              <w:rPr>
                <w:b/>
                <w:sz w:val="20"/>
              </w:rPr>
              <w:t>Guide:</w:t>
            </w:r>
          </w:p>
        </w:tc>
        <w:tc>
          <w:tcPr>
            <w:tcW w:type="dxa" w:w="4680"/>
          </w:tcPr>
          <w:p/>
        </w:tc>
      </w:tr>
      <w:tr>
        <w:tc>
          <w:tcPr>
            <w:tcW w:type="dxa" w:w="4680"/>
          </w:tcPr>
          <w:p>
            <w:r>
              <w:rPr>
                <w:b/>
                <w:sz w:val="20"/>
              </w:rPr>
              <w:t>Status:</w:t>
            </w:r>
          </w:p>
        </w:tc>
        <w:tc>
          <w:tcPr>
            <w:tcW w:type="dxa" w:w="4680"/>
          </w:tcPr>
          <w:p>
            <w:r>
              <w:t>Accepted/To be modified/Rejected</w:t>
            </w:r>
          </w:p>
        </w:tc>
      </w:tr>
    </w:tbl>
    <w:p/>
    <w:p/>
    <w:p>
      <w:pPr>
        <w:jc w:val="center"/>
      </w:pPr>
      <w:r>
        <w:rPr>
          <w:sz w:val="20"/>
        </w:rPr>
        <w:t>Signature of the Mini Project Co-ordinator</w:t>
      </w:r>
    </w:p>
    <w:p>
      <w:r>
        <w:br w:type="page"/>
      </w:r>
    </w:p>
    <w:p>
      <w:pPr>
        <w:jc w:val="center"/>
      </w:pPr>
      <w:r>
        <w:rPr>
          <w:b/>
          <w:sz w:val="24"/>
        </w:rPr>
        <w:t>1. ABSTRACT</w:t>
      </w:r>
    </w:p>
    <w:p>
      <w:pPr>
        <w:spacing w:line="276" w:lineRule="auto"/>
      </w:pPr>
      <w:r>
        <w:rPr>
          <w:sz w:val="22"/>
        </w:rPr>
        <w:t xml:space="preserve">Self-directed learning today fails not from a shortage of material but from a shortage of structure and accountability. This project proposes a role-based, institution-scoped learning progression platform in which teachers author courses as ordered stages and sub-stages, each linked to curated documentation and video resources and closed by a short self-assessment quiz. </w:t>
        <w:br/>
        <w:br/>
        <w:t>Students follow a published course while the system records verified progress, and sustained effort is encouraged through streak-based engagement scoring. Teachers receive cohort analytics that identify exactly where learners stall, and administrators provision every account, keeping the deployment closed to a single institution. The system is delivered as a web application.</w:t>
        <w:br/>
        <w:br/>
        <w:t>The platform addresses the fundamental gap in self-directed learning by providing structure, verification, and accountability mechanisms. Unlike existing solutions that either focus on administrative workflows or operate as closed catalogues, this system enables teachers to author tailored learning paths while maintaining visibility into how their students progress through those paths. The combination of structured progression, verified assessments, and actionable analytics creates a comprehensive solution for improving completion rates and learning outcomes in institutional contexts.</w:t>
      </w:r>
    </w:p>
    <w:p>
      <w:r>
        <w:rPr>
          <w:b/>
          <w:sz w:val="22"/>
        </w:rPr>
        <w:t>Key Features:</w:t>
      </w:r>
    </w:p>
    <w:p>
      <w:pPr>
        <w:pStyle w:val="ListBullet"/>
      </w:pPr>
      <w:r>
        <w:rPr>
          <w:sz w:val="22"/>
        </w:rPr>
        <w:t>Role-based access control with three distinct user roles (Student, Teacher, Administrator)</w:t>
      </w:r>
    </w:p>
    <w:p>
      <w:pPr>
        <w:pStyle w:val="ListBullet"/>
      </w:pPr>
      <w:r>
        <w:rPr>
          <w:sz w:val="22"/>
        </w:rPr>
        <w:t>Hierarchical course structure with stages, sub-stages, and curated learning resources</w:t>
      </w:r>
    </w:p>
    <w:p>
      <w:pPr>
        <w:pStyle w:val="ListBullet"/>
      </w:pPr>
      <w:r>
        <w:rPr>
          <w:sz w:val="22"/>
        </w:rPr>
        <w:t>Verified progress tracking through required self-assessment checkpoints</w:t>
      </w:r>
    </w:p>
    <w:p>
      <w:pPr>
        <w:pStyle w:val="ListBullet"/>
      </w:pPr>
      <w:r>
        <w:rPr>
          <w:sz w:val="22"/>
        </w:rPr>
        <w:t>Comprehensive cohort-level analytics for instructors to identify learning bottlenecks</w:t>
      </w:r>
    </w:p>
    <w:p>
      <w:pPr>
        <w:pStyle w:val="ListBullet"/>
      </w:pPr>
      <w:r>
        <w:rPr>
          <w:sz w:val="22"/>
        </w:rPr>
        <w:t>Engagement tracking through activity streaks and course-specific leaderboards</w:t>
      </w:r>
    </w:p>
    <w:p>
      <w:pPr>
        <w:pStyle w:val="ListBullet"/>
      </w:pPr>
      <w:r>
        <w:rPr>
          <w:sz w:val="22"/>
        </w:rPr>
        <w:t>Automated resource health monitoring to ensure link validity and material accessibility</w:t>
      </w:r>
    </w:p>
    <w:p>
      <w:r>
        <w:br w:type="page"/>
      </w:r>
    </w:p>
    <w:p>
      <w:pPr>
        <w:jc w:val="center"/>
      </w:pPr>
      <w:r>
        <w:rPr>
          <w:b/>
          <w:sz w:val="24"/>
        </w:rPr>
        <w:t>2. INTRODUCTION</w:t>
      </w:r>
    </w:p>
    <w:p>
      <w:pPr>
        <w:spacing w:line="276" w:lineRule="auto"/>
      </w:pPr>
      <w:r>
        <w:rPr>
          <w:sz w:val="22"/>
        </w:rPr>
        <w:t>The volume of high-quality technical learning material available at no cost has never been greater. Documentation, lecture recordings, tutorial series and reference texts covering subjects such as data structures, operating systems and web development are freely accessible to any student with an internet connection. Despite this abundance, a large proportion of learners who begin studying a subject independently do not finish it. Analysis of a large sample of open online courses reports a median completion rate of only 12.6 percent, ranging from 0.7 percent to 52.1 percent across courses.</w:t>
        <w:br/>
        <w:br/>
        <w:t>The pedagogical literature provides strong evidence that structured learning pathways, formative assessment, and feedback mechanisms significantly improve learning outcomes. Test-enhanced learning demonstrates that attempting retrieval tasks improves long-term retention. Active learning increases student performance in STEM disciplines. Gamification techniques, when applied thoughtfully to reward consistency rather than speed, sustain engagement over extended study periods.</w:t>
        <w:br/>
        <w:br/>
        <w:t>Existing platforms address only parts of this gap:</w:t>
        <w:br/>
        <w:br/>
        <w:t>• Institutional learning management systems (Moodle, Google Classroom) are built primarily around administrative workflows and track compliance rather than progression of understanding.</w:t>
        <w:br/>
        <w:br/>
        <w:t>• General-purpose note and bookmark applications (Notion, Trello) impose no ordering or prerequisite relationships and provide no verification that material has been engaged with.</w:t>
        <w:br/>
        <w:br/>
        <w:t>• Large open course platforms (Coursera, NPTEL) provide well-structured content but operate as closed catalogues; teachers cannot compose sequences tailored to their classes.</w:t>
        <w:br/>
        <w:br/>
        <w:t>In every case, the person best placed to design a learning path for a group of students—their own teacher—has no tool that turns that path into something a student can follow and a teacher can observe. This project proposes a web-based learning progression platform that closes this gap.</w:t>
      </w:r>
    </w:p>
    <w:p>
      <w:r>
        <w:br w:type="page"/>
      </w:r>
    </w:p>
    <w:p>
      <w:pPr>
        <w:jc w:val="center"/>
      </w:pPr>
      <w:r>
        <w:rPr>
          <w:b/>
          <w:sz w:val="24"/>
        </w:rPr>
        <w:t>3. PROBLEM STATEMENT</w:t>
      </w:r>
    </w:p>
    <w:p>
      <w:pPr>
        <w:spacing w:line="276" w:lineRule="auto"/>
      </w:pPr>
      <w:r>
        <w:rPr>
          <w:sz w:val="22"/>
        </w:rPr>
        <w:t>Manual learning progression tracking and course organization present significant challenges in educational institutions:</w:t>
        <w:br/>
        <w:br/>
        <w:t>• Topic decomposition into learnable sub-topics requires manual effort and lacks standardization.</w:t>
        <w:br/>
        <w:br/>
        <w:t>• Students cannot easily track their progress across multiple learning resources.</w:t>
        <w:br/>
        <w:br/>
        <w:t>• Teachers have no visibility into where students are struggling without manual assessment submission.</w:t>
        <w:br/>
        <w:br/>
        <w:t>• Existing tools address only parts of this workflow:</w:t>
        <w:br/>
        <w:t xml:space="preserve">    ○ Search engines provide unsynthesized lists of links without topic coverage assessment.</w:t>
        <w:br/>
        <w:t xml:space="preserve">    ○ Learning management systems track grades but not conceptual progression.</w:t>
        <w:br/>
        <w:t xml:space="preserve">    ○ General productivity tools impose no structure or verification.</w:t>
        <w:br/>
        <w:br/>
        <w:t>• These limitations result in:</w:t>
        <w:br/>
        <w:t xml:space="preserve">    ○ Incomplete learning coverage</w:t>
        <w:br/>
        <w:t xml:space="preserve">    ○ Shallow understanding and missed learning gaps</w:t>
        <w:br/>
        <w:t xml:space="preserve">    ○ Low completion rates in self-directed learning</w:t>
        <w:br/>
        <w:t xml:space="preserve">    ○ Increased teacher effort to understand cohort progress</w:t>
        <w:br/>
        <w:br/>
        <w:t>Therefore, there is a need for a comprehensive platform capable of:</w:t>
        <w:br/>
        <w:br/>
        <w:t>• Enabling structured course authoring with hierarchical stage organization.</w:t>
        <w:br/>
        <w:br/>
        <w:t>• Maintaining verified student progress records tied to assessed understanding.</w:t>
        <w:br/>
        <w:br/>
        <w:t>• Providing teachers with actionable cohort analytics identifying specific learning bottlenecks.</w:t>
        <w:br/>
        <w:br/>
        <w:t>• Sustaining student engagement through structured progression and feedback mechanisms.</w:t>
        <w:br/>
        <w:br/>
        <w:t>The proposed Academic Tracker addresses this need by delivering a complete learning progression platform with teacher-authored structure, verified progress tracking, and instructor-facing analytics.</w:t>
      </w:r>
    </w:p>
    <w:p>
      <w:r>
        <w:br w:type="page"/>
      </w:r>
    </w:p>
    <w:p>
      <w:pPr>
        <w:jc w:val="center"/>
      </w:pPr>
      <w:r>
        <w:rPr>
          <w:b/>
          <w:sz w:val="24"/>
        </w:rPr>
        <w:t>4. OBJECTIVES</w:t>
      </w:r>
    </w:p>
    <w:p>
      <w:r>
        <w:rPr>
          <w:sz w:val="22"/>
        </w:rPr>
        <w:t>The primary objectives of the project are:</w:t>
      </w:r>
    </w:p>
    <w:p/>
    <w:p>
      <w:r>
        <w:rPr>
          <w:b/>
          <w:sz w:val="22"/>
        </w:rPr>
        <w:t>4.1 Role-Based Institutional Access Control</w:t>
      </w:r>
    </w:p>
    <w:p>
      <w:pPr>
        <w:spacing w:line="276" w:lineRule="auto"/>
        <w:ind w:left="360"/>
      </w:pPr>
      <w:r>
        <w:rPr>
          <w:sz w:val="22"/>
        </w:rPr>
        <w:t>Implement three distinct roles—student, teacher and administrator—with strictly separated capabilities. All accounts are provisioned by the administrator rather than through public registration, ensuring that a deployment remains scoped to a single verified institution and that teaching and enrolment privileges cannot be self-assigned.</w:t>
      </w:r>
    </w:p>
    <w:p>
      <w:r>
        <w:rPr>
          <w:b/>
          <w:sz w:val="22"/>
        </w:rPr>
        <w:t>4.2 Structured Course Authoring</w:t>
      </w:r>
    </w:p>
    <w:p>
      <w:pPr>
        <w:spacing w:line="276" w:lineRule="auto"/>
        <w:ind w:left="360"/>
      </w:pPr>
      <w:r>
        <w:rPr>
          <w:sz w:val="22"/>
        </w:rPr>
        <w:t>Enable teachers to compose a course as an ordered hierarchy of stages and sub-stages, attaching curated external resources such as documentation pages and video lectures to each sub-stage. Authoring supports drafting, publishing and subsequent revision of a course without disturbing the recorded progress of students already following it.</w:t>
      </w:r>
    </w:p>
    <w:p>
      <w:r>
        <w:rPr>
          <w:b/>
          <w:sz w:val="22"/>
        </w:rPr>
        <w:t>4.3 Verified Progress Tracking</w:t>
      </w:r>
    </w:p>
    <w:p>
      <w:pPr>
        <w:spacing w:line="276" w:lineRule="auto"/>
        <w:ind w:left="360"/>
      </w:pPr>
      <w:r>
        <w:rPr>
          <w:sz w:val="22"/>
        </w:rPr>
        <w:t>Maintain a persistent, per-student record of position within a course at sub-stage granularity. A sub-stage is marked complete only when its associated self-assessment has been attempted, so that recorded progress reflects genuine engagement rather than a checkbox the student has simply ticked.</w:t>
      </w:r>
    </w:p>
    <w:p>
      <w:r>
        <w:rPr>
          <w:b/>
          <w:sz w:val="22"/>
        </w:rPr>
        <w:t>4.4 Retrieval-Based Self-Assessment</w:t>
      </w:r>
    </w:p>
    <w:p>
      <w:pPr>
        <w:spacing w:line="276" w:lineRule="auto"/>
        <w:ind w:left="360"/>
      </w:pPr>
      <w:r>
        <w:rPr>
          <w:sz w:val="22"/>
        </w:rPr>
        <w:t>Provide a short teacher-authored objective quiz at the close of each stage, presented as a knowledge checkpoint rather than a barrier. Attempting the quiz is required in order to progress, but the score obtained is not, allowing a student to identify weak areas and revisit material without being locked out of the course.</w:t>
      </w:r>
    </w:p>
    <w:p>
      <w:r>
        <w:rPr>
          <w:b/>
          <w:sz w:val="22"/>
        </w:rPr>
        <w:t>4.5 Instructor-Facing Learning Analytics</w:t>
      </w:r>
    </w:p>
    <w:p>
      <w:pPr>
        <w:spacing w:line="276" w:lineRule="auto"/>
        <w:ind w:left="360"/>
      </w:pPr>
      <w:r>
        <w:rPr>
          <w:sz w:val="22"/>
        </w:rPr>
        <w:t>Aggregate individual progress and assessment data into a cohort view for the authoring teacher, reporting distribution of learners across stages, time spent per sub-stage relative to the cohort median, and the specific sub-stages at which the largest proportion of students stall or abandon the course.</w:t>
      </w:r>
    </w:p>
    <w:p>
      <w:r>
        <w:rPr>
          <w:b/>
          <w:sz w:val="22"/>
        </w:rPr>
        <w:t>4.6 Sustained Engagement Mechanisms</w:t>
      </w:r>
    </w:p>
    <w:p>
      <w:pPr>
        <w:spacing w:line="276" w:lineRule="auto"/>
        <w:ind w:left="360"/>
      </w:pPr>
      <w:r>
        <w:rPr>
          <w:sz w:val="22"/>
        </w:rPr>
        <w:t>Encourage continued participation through consistency-oriented metrics such as activity streaks and course-scoped leaderboards, deliberately weighted towards regularity of study rather than raw speed of completion, so that the mechanism rewards sustained effort instead of superficial progression.</w:t>
      </w:r>
    </w:p>
    <w:p>
      <w:r>
        <w:rPr>
          <w:b/>
          <w:sz w:val="22"/>
        </w:rPr>
        <w:t>4.7 Resource Integrity Maintenance</w:t>
      </w:r>
    </w:p>
    <w:p>
      <w:pPr>
        <w:spacing w:line="276" w:lineRule="auto"/>
        <w:ind w:left="360"/>
      </w:pPr>
      <w:r>
        <w:rPr>
          <w:sz w:val="22"/>
        </w:rPr>
        <w:t>Periodically verify the reachability of every external resource referenced by a published course and flag unreachable links to the authoring teacher, preventing the gradual decay of curated material that undermines the long-term usefulness of link-based learning paths.</w:t>
      </w:r>
    </w:p>
    <w:p>
      <w:r>
        <w:br w:type="page"/>
      </w:r>
    </w:p>
    <w:p>
      <w:pPr>
        <w:jc w:val="center"/>
      </w:pPr>
      <w:r>
        <w:rPr>
          <w:b/>
          <w:sz w:val="24"/>
        </w:rPr>
        <w:t>5. BLOCK DIAGRAM / ARCHITECTURE</w:t>
      </w:r>
    </w:p>
    <w:p>
      <w:r>
        <w:t>[INSERT ARCHITECTURE DIAGRAM HERE]</w:t>
      </w:r>
    </w:p>
    <w:p/>
    <w:p>
      <w:pPr>
        <w:spacing w:line="276" w:lineRule="auto"/>
      </w:pPr>
      <w:r>
        <w:rPr>
          <w:sz w:val="22"/>
        </w:rPr>
        <w:t xml:space="preserve">The system follows a layered architecture in which each layer depends only on the layer directly beneath it, ensuring modularity, testability, and clear separation of concerns. </w:t>
        <w:br/>
        <w:br/>
        <w:t>The presentation layer exposes three role-specific interfaces—Student Portal, Teacher Console, and Administrator Console—rendered from a single client application. The API and security layer terminates every incoming request, establishes the identity and role of the caller through JWT token verification, and enforces the access scope permitted to that role before any business logic executes. This layer also implements request validation, schema enforcement, audit logging, and rate limiting.</w:t>
        <w:br/>
        <w:br/>
        <w:t>The application service layer contains independent services: Course Authoring, Progress Engine, Assessment Engine, Analytics Engine, Engagement and Leaderboard Service, Resource Health Monitor, and Identity and Provisioning Service. These services are decoupled and communicate through well-defined interfaces.</w:t>
        <w:br/>
        <w:br/>
        <w:t>The data access layer isolates these services from the storage engine through object-relational mapping and guarantees transactional consistency. The data persistence layer holds the complete relational schema with tables for institutions, users, roles, courses, stages, sub-stages, resources, quizzes, progress records, and engagement metrics.</w:t>
        <w:br/>
        <w:br/>
        <w:t>A separate scheduled job layer operates on a time trigger, performing background maintenance and aggregation independently of the request path. External dependencies such as curated web resources, transactional mail services, and cloud hosting infrastructure are accessed through well-defined interfaces.</w:t>
      </w:r>
    </w:p>
    <w:p>
      <w:r>
        <w:br w:type="page"/>
      </w:r>
    </w:p>
    <w:p>
      <w:pPr>
        <w:jc w:val="center"/>
      </w:pPr>
      <w:r>
        <w:rPr>
          <w:b/>
          <w:sz w:val="24"/>
        </w:rPr>
        <w:t>6. MODULES / COMPONENTS DESCRIPTION</w:t>
      </w:r>
    </w:p>
    <w:p>
      <w:r>
        <w:rPr>
          <w:b/>
          <w:sz w:val="22"/>
        </w:rPr>
        <w:t>6.1 Identity, Role and Provisioning Module</w:t>
      </w:r>
    </w:p>
    <w:p>
      <w:pPr>
        <w:spacing w:line="276" w:lineRule="auto"/>
        <w:ind w:left="360"/>
      </w:pPr>
      <w:r>
        <w:rPr>
          <w:sz w:val="22"/>
        </w:rPr>
        <w:t>This module governs who may enter the system and what each entrant is permitted to do. The administrator creates teacher and student accounts, which are then activated by the account holder through a secure activation link. The module issues and verifies signed session tokens (JWT) on each request and enforces capability boundaries between roles. It additionally supports account deactivation while preserving historical records.</w:t>
      </w:r>
    </w:p>
    <w:p>
      <w:r>
        <w:rPr>
          <w:b/>
          <w:sz w:val="22"/>
        </w:rPr>
        <w:t>6.2 Course Authoring and Versioning Module</w:t>
      </w:r>
    </w:p>
    <w:p>
      <w:pPr>
        <w:spacing w:line="276" w:lineRule="auto"/>
        <w:ind w:left="360"/>
      </w:pPr>
      <w:r>
        <w:rPr>
          <w:sz w:val="22"/>
        </w:rPr>
        <w:t>Teachers compose a course as an ordered hierarchy of stages and sub-stages, attaching curated external resources with descriptive notes to each sub-stage. Courses exist in draft state visible only to the author and become available to students on publication. The module manages revision of published courses, retaining the structure students follow so that teacher edits do not invalidate existing progress.</w:t>
      </w:r>
    </w:p>
    <w:p>
      <w:r>
        <w:rPr>
          <w:b/>
          <w:sz w:val="22"/>
        </w:rPr>
        <w:t>6.3 Progress Tracking Module</w:t>
      </w:r>
    </w:p>
    <w:p>
      <w:pPr>
        <w:spacing w:line="276" w:lineRule="auto"/>
        <w:ind w:left="360"/>
      </w:pPr>
      <w:r>
        <w:rPr>
          <w:sz w:val="22"/>
        </w:rPr>
        <w:t>This module maintains the authoritative record of each learner's position within every course they follow. Progress is stored at sub-stage granularity, capturing state, opening time, and completion time. Completion of a stage is recognized only once its closing self-assessment has been attempted, preventing progress recording for material merely opened.</w:t>
      </w:r>
    </w:p>
    <w:p>
      <w:r>
        <w:rPr>
          <w:b/>
          <w:sz w:val="22"/>
        </w:rPr>
        <w:t>6.4 Assessment Module</w:t>
      </w:r>
    </w:p>
    <w:p>
      <w:pPr>
        <w:spacing w:line="276" w:lineRule="auto"/>
        <w:ind w:left="360"/>
      </w:pPr>
      <w:r>
        <w:rPr>
          <w:sz w:val="22"/>
        </w:rPr>
        <w:t>Teachers author questions, options and correct responses through the teacher console. The module evaluates student submissions automatically on completion, persisting every attempt with per-question outcome. Students can review incorrect responses and revisit corresponding material. The assessment functions as a checkpoint rather than a gate: attempting it is required but the score achieved does not restrict advancement.</w:t>
      </w:r>
    </w:p>
    <w:p>
      <w:r>
        <w:rPr>
          <w:b/>
          <w:sz w:val="22"/>
        </w:rPr>
        <w:t>6.5 Learning Analytics Module</w:t>
      </w:r>
    </w:p>
    <w:p>
      <w:pPr>
        <w:spacing w:line="276" w:lineRule="auto"/>
        <w:ind w:left="360"/>
      </w:pPr>
      <w:r>
        <w:rPr>
          <w:sz w:val="22"/>
        </w:rPr>
        <w:t>This module transforms raw progress and assessment records into an interpretable view for teachers. It reports student distribution across course stages, median and outlier time spent per sub-stage, and incorrect answer rates. It identifies bottleneck points—specific sub-stages where the largest proportion of the cohort slows down or abandons the course—enabling precise instructional intervention.</w:t>
      </w:r>
    </w:p>
    <w:p>
      <w:r>
        <w:rPr>
          <w:b/>
          <w:sz w:val="22"/>
        </w:rPr>
        <w:t>6.6 Engagement and Leaderboard Module</w:t>
      </w:r>
    </w:p>
    <w:p>
      <w:pPr>
        <w:spacing w:line="276" w:lineRule="auto"/>
        <w:ind w:left="360"/>
      </w:pPr>
      <w:r>
        <w:rPr>
          <w:sz w:val="22"/>
        </w:rPr>
        <w:t>This module maintains per-student activity streaks reflecting consecutive days of meaningful progress, derives consistency scores weighted towards regularity, and publishes course-scoped leaderboards so students compare only against peers following the same material. The weighting discourages superficial advancement since rankings reward studying material rather than moving through it quickly.</w:t>
      </w:r>
    </w:p>
    <w:p>
      <w:r>
        <w:rPr>
          <w:b/>
          <w:sz w:val="22"/>
        </w:rPr>
        <w:t>6.7 Resource Integrity and Notification Module</w:t>
      </w:r>
    </w:p>
    <w:p>
      <w:pPr>
        <w:spacing w:line="276" w:lineRule="auto"/>
        <w:ind w:left="360"/>
      </w:pPr>
      <w:r>
        <w:rPr>
          <w:sz w:val="22"/>
        </w:rPr>
        <w:t>This module executes time-triggered background work. It periodically issues reachability checks against every external resource referenced by published courses and flags those that no longer respond, alerting teachers so material does not silently decay. The same scheduler recomputes engagement metrics and analytics outside the request path to keep interactive interfaces responsive, and dispatches notifications covering account provisioning and inactivity alerts.</w:t>
      </w:r>
    </w:p>
    <w:p>
      <w:r>
        <w:br w:type="page"/>
      </w:r>
    </w:p>
    <w:p>
      <w:pPr>
        <w:jc w:val="center"/>
      </w:pPr>
      <w:r>
        <w:rPr>
          <w:b/>
          <w:sz w:val="24"/>
        </w:rPr>
        <w:t>7. EXPECTED OUTCOME</w:t>
      </w:r>
    </w:p>
    <w:p>
      <w:pPr>
        <w:pStyle w:val="ListBullet"/>
        <w:spacing w:line="276" w:lineRule="auto"/>
      </w:pPr>
      <w:r>
        <w:rPr>
          <w:sz w:val="22"/>
        </w:rPr>
        <w:t>A deployable multi-role web application supporting three distinct roles, in which a teacher can author and publish a complete structured course and a student can follow it end to end with progress persisted across sessions and devices.</w:t>
      </w:r>
    </w:p>
    <w:p>
      <w:pPr>
        <w:pStyle w:val="ListBullet"/>
        <w:spacing w:line="276" w:lineRule="auto"/>
      </w:pPr>
      <w:r>
        <w:rPr>
          <w:sz w:val="22"/>
        </w:rPr>
        <w:t>Verified rather than self-declared progress records, where advancement is tied to an attempted assessment, producing a record of learner position that is meaningfully more reliable than a manually maintained checklist.</w:t>
      </w:r>
    </w:p>
    <w:p>
      <w:pPr>
        <w:pStyle w:val="ListBullet"/>
        <w:spacing w:line="276" w:lineRule="auto"/>
      </w:pPr>
      <w:r>
        <w:rPr>
          <w:sz w:val="22"/>
        </w:rPr>
        <w:t>Actionable cohort insight for teachers, identifying the specific sub-stages at which a class is stalling, allowing instructional intervention to be directed at concrete points of difficulty instead of general completion statistics.</w:t>
      </w:r>
    </w:p>
    <w:p>
      <w:pPr>
        <w:pStyle w:val="ListBullet"/>
        <w:spacing w:line="276" w:lineRule="auto"/>
      </w:pPr>
      <w:r>
        <w:rPr>
          <w:sz w:val="22"/>
        </w:rPr>
        <w:t>Measurable improvement in course continuation, demonstrated over a trial cohort within the institution, showing that structured progression combined with checkpoint assessment and engagement feedback sustains participation further into a course than unstructured self-study.</w:t>
      </w:r>
    </w:p>
    <w:p>
      <w:pPr>
        <w:pStyle w:val="ListBullet"/>
        <w:spacing w:line="276" w:lineRule="auto"/>
      </w:pPr>
      <w:r>
        <w:rPr>
          <w:sz w:val="22"/>
        </w:rPr>
        <w:t>A reusable, subject-independent course model verified by populating the platform with courses in distinct domains such as data structures, operating systems and web development.</w:t>
      </w:r>
    </w:p>
    <w:p>
      <w:pPr>
        <w:pStyle w:val="ListBullet"/>
        <w:spacing w:line="276" w:lineRule="auto"/>
      </w:pPr>
      <w:r>
        <w:rPr>
          <w:sz w:val="22"/>
        </w:rPr>
        <w:t>A foundation for institutional deployment with an administrator-provisioned, institution-scoped design that can be adopted by a school or college as a self-contained instance, establishing a practical basis for extension beyond the scope of this project.</w:t>
      </w:r>
    </w:p>
    <w:p>
      <w:r>
        <w:br w:type="page"/>
      </w:r>
    </w:p>
    <w:p>
      <w:pPr>
        <w:jc w:val="center"/>
      </w:pPr>
      <w:r>
        <w:rPr>
          <w:b/>
          <w:sz w:val="24"/>
        </w:rPr>
        <w:t>8. SYSTEM DESIGN CONSIDERATIONS</w:t>
      </w:r>
    </w:p>
    <w:p>
      <w:pPr>
        <w:spacing w:line="276" w:lineRule="auto"/>
      </w:pPr>
      <w:r>
        <w:rPr>
          <w:sz w:val="22"/>
        </w:rPr>
        <w:t>This platform prioritizes institution-scoped deployment over multi-tenancy, ensuring that each deployment is a self-contained instance with its own database and no cross-institutional data sharing. This simplifies compliance with institutional data policies and eliminates complexity of tenant isolation at scale. All user accounts are provisioned by institutional administrators, creating a verification step that ensures only legitimate institution members participate.</w:t>
        <w:br/>
        <w:br/>
        <w:t>The progression model ties advancement to attempted assessment rather than self-declaration, grounding progress records in verifiable learner action. The analytics system computes cohort-level aggregates outside the request path to ensure instructor dashboards remain responsive even as enrollments grow. The engagement metrics are deliberately weighted to reward regularity over speed, aligning with educational research on sustainable learning and deep understanding rather than superficial completion.</w:t>
      </w:r>
    </w:p>
    <w:p/>
    <w:p/>
    <w:p>
      <w:pPr>
        <w:jc w:val="center"/>
      </w:pPr>
      <w:r>
        <w:rPr>
          <w:b/>
          <w:sz w:val="24"/>
        </w:rPr>
        <w:t>9. REFERENCES</w:t>
      </w:r>
    </w:p>
    <w:p>
      <w:pPr>
        <w:spacing w:line="276" w:lineRule="auto"/>
      </w:pPr>
      <w:r>
        <w:rPr>
          <w:sz w:val="22"/>
        </w:rPr>
        <w:t>[1] K. Jordan, "Massive open online course completion rates revisited: Assessment, length and attrition," Int. Rev. Res. Open Distrib. Learn., vol. 16, no. 3, pp. 341–358, Jun. 2015.</w:t>
      </w:r>
    </w:p>
    <w:p>
      <w:pPr>
        <w:spacing w:line="276" w:lineRule="auto"/>
      </w:pPr>
      <w:r>
        <w:rPr>
          <w:sz w:val="22"/>
        </w:rPr>
        <w:t>[2] K. S. Hone and G. R. El Said, "Exploring the factors affecting MOOC retention: A survey study," Comput. Educ., vol. 98, pp. 157–168, Jul. 2016.</w:t>
      </w:r>
    </w:p>
    <w:p>
      <w:pPr>
        <w:spacing w:line="276" w:lineRule="auto"/>
      </w:pPr>
      <w:r>
        <w:rPr>
          <w:sz w:val="22"/>
        </w:rPr>
        <w:t>[3] J. A. Greene, C. A. Oswald, and J. Pomerantz, "Predictors of retention and achievement in a massive open online course," Amer. Educ. Res. J., vol. 52, no. 5, pp. 925–955, Oct. 2015.</w:t>
      </w:r>
    </w:p>
    <w:p>
      <w:pPr>
        <w:spacing w:line="276" w:lineRule="auto"/>
      </w:pPr>
      <w:r>
        <w:rPr>
          <w:sz w:val="22"/>
        </w:rPr>
        <w:t>[4] H. L. Roediger and J. D. Karpicke, "Test-enhanced learning: Taking memory tests improves long-term retention," Psychol. Sci., vol. 17, no. 3, pp. 249–255, Mar. 2006.</w:t>
      </w:r>
    </w:p>
    <w:p>
      <w:pPr>
        <w:spacing w:line="276" w:lineRule="auto"/>
      </w:pPr>
      <w:r>
        <w:rPr>
          <w:sz w:val="22"/>
        </w:rPr>
        <w:t>[5] S. Freeman et al., "Active learning increases student performance in science, engineering, and mathematics," Proc. Nat. Acad. Sci. USA, vol. 111, no. 23, pp. 8410–8415, Jun. 2014.</w:t>
      </w:r>
    </w:p>
    <w:p>
      <w:pPr>
        <w:spacing w:line="276" w:lineRule="auto"/>
      </w:pPr>
      <w:r>
        <w:rPr>
          <w:sz w:val="22"/>
        </w:rPr>
        <w:t>[6] J. Hamari, J. Koivisto, and H. Sarsa, "Does gamification work? — A literature review of empirical studies on gamification," in Proc. 47th Hawaii Int. Conf. Syst. Sci. (HICSS), Waikoloa, HI, USA, Jan. 2014, pp. 3025–3034.</w:t>
      </w:r>
    </w:p>
    <w:sectPr w:rsidR="00FC693F" w:rsidRPr="0006063C" w:rsidSect="00034616">
      <w:head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20"/>
    </w:pPr>
    <w:r>
      <w:rPr>
        <w:sz w:val="18"/>
      </w:rPr>
      <w:t>Synopsis – Academic Tracker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