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B365D"/>
          <w:sz w:val="76"/>
        </w:rPr>
        <w:br/>
        <w:br/>
        <w:br/>
        <w:br/>
        <w:t>WealthWise</w:t>
      </w:r>
    </w:p>
    <w:p>
      <w:pPr>
        <w:spacing w:before="0" w:after="480"/>
        <w:jc w:val="left"/>
      </w:pPr>
      <w:r>
        <w:rPr>
          <w:rFonts w:ascii="Calibri" w:hAnsi="Calibri"/>
          <w:b w:val="0"/>
          <w:color w:val="4A777A"/>
          <w:sz w:val="36"/>
        </w:rPr>
        <w:t>PERSONAL EXPENSE TRACKER</w:t>
      </w:r>
    </w:p>
    <w:p>
      <w:pPr>
        <w:spacing w:after="480"/>
      </w:pPr>
      <w:r>
        <w:rPr>
          <w:b/>
          <w:color w:val="4A777A"/>
        </w:rPr>
        <w:t>――――――――――――――――――――――――――――――――――――――――</w:t>
      </w:r>
    </w:p>
    <w:p>
      <w:r>
        <w:rPr>
          <w:rFonts w:ascii="Calibri" w:hAnsi="Calibri"/>
          <w:i w:val="0"/>
          <w:color w:val="333333"/>
        </w:rPr>
        <w:t>A Production-Ready Full-Stack Technical Project Report detailing the architecture, database schema, RESTful APIs, modern frontend, containerization, and continuous integration pipeline.</w:t>
      </w:r>
    </w:p>
    <w:p>
      <w:pPr>
        <w:spacing w:before="0" w:after="80"/>
        <w:jc w:val="left"/>
      </w:pPr>
      <w:r>
        <w:rPr>
          <w:rFonts w:ascii="Calibri" w:hAnsi="Calibri"/>
          <w:b/>
          <w:color w:val="4A777A"/>
          <w:sz w:val="24"/>
        </w:rPr>
        <w:br/>
        <w:br/>
        <w:br/>
        <w:br/>
        <w:br/>
        <w:br/>
        <w:br/>
        <w:br/>
        <w:t>TECHNICAL PROJECT REPORT</w:t>
      </w:r>
    </w:p>
    <w:p>
      <w:r>
        <w:rPr>
          <w:rFonts w:ascii="Calibri" w:hAnsi="Calibri"/>
          <w:b/>
          <w:color w:val="333333"/>
        </w:rPr>
        <w:t xml:space="preserve">Course: </w:t>
      </w:r>
      <w:r>
        <w:rPr>
          <w:rFonts w:ascii="Calibri" w:hAnsi="Calibri"/>
          <w:i w:val="0"/>
          <w:color w:val="333333"/>
        </w:rPr>
        <w:t>Software Engineering Mini Project Report</w:t>
      </w:r>
    </w:p>
    <w:p>
      <w:r>
        <w:rPr>
          <w:rFonts w:ascii="Calibri" w:hAnsi="Calibri"/>
          <w:b/>
          <w:color w:val="333333"/>
        </w:rPr>
        <w:t xml:space="preserve">Technology Stack: </w:t>
      </w:r>
      <w:r>
        <w:rPr>
          <w:rFonts w:ascii="Calibri" w:hAnsi="Calibri"/>
          <w:i w:val="0"/>
          <w:color w:val="333333"/>
        </w:rPr>
        <w:t>FastAPI, SQLite, SQLAlchemy, Docker, GitHub Actions</w:t>
      </w:r>
    </w:p>
    <w:p>
      <w:r>
        <w:rPr>
          <w:rFonts w:ascii="Calibri" w:hAnsi="Calibri"/>
          <w:b/>
          <w:color w:val="333333"/>
        </w:rPr>
        <w:t xml:space="preserve">Date: </w:t>
      </w:r>
      <w:r>
        <w:rPr>
          <w:rFonts w:ascii="Calibri" w:hAnsi="Calibri"/>
          <w:i w:val="0"/>
          <w:color w:val="333333"/>
        </w:rPr>
        <w:t>August 2026</w:t>
      </w:r>
    </w:p>
    <w:p>
      <w:r>
        <w:br w:type="page"/>
      </w:r>
    </w:p>
    <w:p>
      <w:pPr>
        <w:keepNext/>
        <w:spacing w:before="360" w:after="120"/>
      </w:pPr>
      <w:r>
        <w:rPr>
          <w:rFonts w:ascii="Calibri" w:hAnsi="Calibri"/>
          <w:b/>
          <w:color w:val="1B365D"/>
          <w:sz w:val="32"/>
        </w:rPr>
        <w:t>Table of Contents</w:t>
      </w:r>
    </w:p>
    <w:p>
      <w:pPr>
        <w:spacing w:after="80"/>
      </w:pPr>
      <w:r>
        <w:rPr>
          <w:rFonts w:ascii="Calibri" w:hAnsi="Calibri"/>
        </w:rPr>
        <w:t>1. Introduction and Objectives</w:t>
      </w:r>
      <w:r>
        <w:rPr>
          <w:rFonts w:ascii="Calibri" w:hAnsi="Calibri"/>
          <w:color w:val="888888"/>
        </w:rPr>
        <w:t xml:space="preserve"> . . . . . . . . . . . . . . . . . . . . . . . . . . . . . . . . . . . . . . . . . . . . Page 3</w:t>
      </w:r>
    </w:p>
    <w:p>
      <w:pPr>
        <w:spacing w:after="80"/>
      </w:pPr>
      <w:r>
        <w:rPr>
          <w:rFonts w:ascii="Calibri" w:hAnsi="Calibri"/>
        </w:rPr>
        <w:t>2. Project Architecture &amp; Technologies Used</w:t>
      </w:r>
      <w:r>
        <w:rPr>
          <w:rFonts w:ascii="Calibri" w:hAnsi="Calibri"/>
          <w:color w:val="888888"/>
        </w:rPr>
        <w:t xml:space="preserve"> . . . . . . . . . . . . . . . . . . . . . . . . . . . . . . . Page 4</w:t>
      </w:r>
    </w:p>
    <w:p>
      <w:pPr>
        <w:spacing w:after="80"/>
      </w:pPr>
      <w:r>
        <w:rPr>
          <w:rFonts w:ascii="Calibri" w:hAnsi="Calibri"/>
        </w:rPr>
        <w:t>3. System Features &amp; Functional Modules</w:t>
      </w:r>
      <w:r>
        <w:rPr>
          <w:rFonts w:ascii="Calibri" w:hAnsi="Calibri"/>
          <w:color w:val="888888"/>
        </w:rPr>
        <w:t xml:space="preserve"> . . . . . . . . . . . . . . . . . . . . . . . . . . . . . . . . . . . Page 5</w:t>
      </w:r>
    </w:p>
    <w:p>
      <w:pPr>
        <w:spacing w:after="80"/>
      </w:pPr>
      <w:r>
        <w:rPr>
          <w:rFonts w:ascii="Calibri" w:hAnsi="Calibri"/>
        </w:rPr>
        <w:t>4. Database Schema and Data Models</w:t>
      </w:r>
      <w:r>
        <w:rPr>
          <w:rFonts w:ascii="Calibri" w:hAnsi="Calibri"/>
          <w:color w:val="888888"/>
        </w:rPr>
        <w:t xml:space="preserve"> . . . . . . . . . . . . . . . . . . . . . . . . . . . . . . . . . . . . . . . . Page 6</w:t>
      </w:r>
    </w:p>
    <w:p>
      <w:pPr>
        <w:spacing w:after="80"/>
      </w:pPr>
      <w:r>
        <w:rPr>
          <w:rFonts w:ascii="Calibri" w:hAnsi="Calibri"/>
        </w:rPr>
        <w:t>5. RESTful API Specification</w:t>
      </w:r>
      <w:r>
        <w:rPr>
          <w:rFonts w:ascii="Calibri" w:hAnsi="Calibri"/>
          <w:color w:val="888888"/>
        </w:rPr>
        <w:t xml:space="preserve"> . . . . . . . . . . . . . . . . . . . . . . . . . . . . . . . . . . . . . . . . . . . . . . Page 7</w:t>
      </w:r>
    </w:p>
    <w:p>
      <w:pPr>
        <w:spacing w:after="80"/>
      </w:pPr>
      <w:r>
        <w:rPr>
          <w:rFonts w:ascii="Calibri" w:hAnsi="Calibri"/>
        </w:rPr>
        <w:t>6. User Interface Design and Frontend Implementation</w:t>
      </w:r>
      <w:r>
        <w:rPr>
          <w:rFonts w:ascii="Calibri" w:hAnsi="Calibri"/>
          <w:color w:val="888888"/>
        </w:rPr>
        <w:t xml:space="preserve"> . . . . . . . . . . . . . . . . . . . . . . Page 8</w:t>
      </w:r>
    </w:p>
    <w:p>
      <w:pPr>
        <w:spacing w:after="80"/>
      </w:pPr>
      <w:r>
        <w:rPr>
          <w:rFonts w:ascii="Calibri" w:hAnsi="Calibri"/>
        </w:rPr>
        <w:t>7. Containerization &amp; Deployment Configuration</w:t>
      </w:r>
      <w:r>
        <w:rPr>
          <w:rFonts w:ascii="Calibri" w:hAnsi="Calibri"/>
          <w:color w:val="888888"/>
        </w:rPr>
        <w:t xml:space="preserve"> . . . . . . . . . . . . . . . . . . . . . . . . . . . . Page 9</w:t>
      </w:r>
    </w:p>
    <w:p>
      <w:pPr>
        <w:spacing w:after="80"/>
      </w:pPr>
      <w:r>
        <w:rPr>
          <w:rFonts w:ascii="Calibri" w:hAnsi="Calibri"/>
        </w:rPr>
        <w:t>8. Continuous Integration &amp; Pipeline Automation</w:t>
      </w:r>
      <w:r>
        <w:rPr>
          <w:rFonts w:ascii="Calibri" w:hAnsi="Calibri"/>
          <w:color w:val="888888"/>
        </w:rPr>
        <w:t xml:space="preserve"> . . . . . . . . . . . . . . . . . . . . . . . . . . Page 10</w:t>
      </w:r>
    </w:p>
    <w:p>
      <w:pPr>
        <w:spacing w:after="80"/>
      </w:pPr>
      <w:r>
        <w:rPr>
          <w:rFonts w:ascii="Calibri" w:hAnsi="Calibri"/>
        </w:rPr>
        <w:t>9. Summary &amp; Future Scope</w:t>
      </w:r>
      <w:r>
        <w:rPr>
          <w:rFonts w:ascii="Calibri" w:hAnsi="Calibri"/>
          <w:color w:val="888888"/>
        </w:rPr>
        <w:t xml:space="preserve"> . . . . . . . . . . . . . . . . . . . . . . . . . . . . . . . . . . . . . . . . . . . . . . . . Page 11</w:t>
      </w:r>
    </w:p>
    <w:p>
      <w:r>
        <w:br w:type="page"/>
      </w:r>
    </w:p>
    <w:p>
      <w:pPr>
        <w:keepNext/>
        <w:spacing w:before="360" w:after="120"/>
      </w:pPr>
      <w:r>
        <w:rPr>
          <w:rFonts w:ascii="Calibri" w:hAnsi="Calibri"/>
          <w:b/>
          <w:color w:val="1B365D"/>
          <w:sz w:val="32"/>
        </w:rPr>
        <w:t>1. Introduction and Objectives</w:t>
      </w:r>
    </w:p>
    <w:p>
      <w:r>
        <w:rPr>
          <w:rFonts w:ascii="Calibri" w:hAnsi="Calibri"/>
          <w:i w:val="0"/>
          <w:color w:val="333333"/>
        </w:rPr>
        <w:t>In the contemporary digital era, personal financial management has transitioned from manual ledger books to interactive software applications. WealthWise is a lightweight, responsive, and robust Personal Expense Tracker designed to empower users to record, categorize, and analyze their expenditures efficiently. The application provides an immediate graphical and structural overview of spending habits, helping users identify primary expenditure categories and maintain strict budgets.</w:t>
      </w:r>
    </w:p>
    <w:p>
      <w:pPr>
        <w:keepNext/>
        <w:spacing w:before="240" w:after="80"/>
      </w:pPr>
      <w:r>
        <w:rPr>
          <w:rFonts w:ascii="Calibri" w:hAnsi="Calibri"/>
          <w:b/>
          <w:color w:val="4A777A"/>
          <w:sz w:val="26"/>
        </w:rPr>
        <w:t>Project Objectives</w:t>
      </w:r>
    </w:p>
    <w:p>
      <w:pPr>
        <w:pStyle w:val="ListBullet"/>
        <w:spacing w:after="60"/>
      </w:pPr>
      <w:r>
        <w:rPr>
          <w:rFonts w:ascii="Calibri" w:hAnsi="Calibri"/>
          <w:b/>
        </w:rPr>
        <w:t xml:space="preserve">Lightweight Architecture: </w:t>
      </w:r>
      <w:r>
        <w:rPr>
          <w:rFonts w:ascii="Calibri" w:hAnsi="Calibri"/>
        </w:rPr>
        <w:t>Build a lightweight client-server Single Page Application (SPA) that runs with minimal system configuration.</w:t>
      </w:r>
    </w:p>
    <w:p>
      <w:pPr>
        <w:pStyle w:val="ListBullet"/>
        <w:spacing w:after="60"/>
      </w:pPr>
      <w:r>
        <w:rPr>
          <w:rFonts w:ascii="Calibri" w:hAnsi="Calibri"/>
          <w:b/>
        </w:rPr>
        <w:t xml:space="preserve">Data Persistence: </w:t>
      </w:r>
      <w:r>
        <w:rPr>
          <w:rFonts w:ascii="Calibri" w:hAnsi="Calibri"/>
        </w:rPr>
        <w:t>Ensure relational integrity and persistent transaction storage using a relational SQLite database schema.</w:t>
      </w:r>
    </w:p>
    <w:p>
      <w:pPr>
        <w:pStyle w:val="ListBullet"/>
        <w:spacing w:after="60"/>
      </w:pPr>
      <w:r>
        <w:rPr>
          <w:rFonts w:ascii="Calibri" w:hAnsi="Calibri"/>
          <w:b/>
        </w:rPr>
        <w:t xml:space="preserve">Full CRUD Support: </w:t>
      </w:r>
      <w:r>
        <w:rPr>
          <w:rFonts w:ascii="Calibri" w:hAnsi="Calibri"/>
        </w:rPr>
        <w:t>Implement a complete suite of CRUD (Create, Read, Update, Delete) HTTP methods via a RESTful API backend.</w:t>
      </w:r>
    </w:p>
    <w:p>
      <w:pPr>
        <w:pStyle w:val="ListBullet"/>
        <w:spacing w:after="60"/>
      </w:pPr>
      <w:r>
        <w:rPr>
          <w:rFonts w:ascii="Calibri" w:hAnsi="Calibri"/>
          <w:b/>
        </w:rPr>
        <w:t xml:space="preserve">Rich UI Aesthetics: </w:t>
      </w:r>
      <w:r>
        <w:rPr>
          <w:rFonts w:ascii="Calibri" w:hAnsi="Calibri"/>
        </w:rPr>
        <w:t>Design a premium, responsive glassmorphic UI using standard HTML5 and Vanilla CSS3 without external styling frameworks.</w:t>
      </w:r>
    </w:p>
    <w:p>
      <w:pPr>
        <w:pStyle w:val="ListBullet"/>
        <w:spacing w:after="60"/>
      </w:pPr>
      <w:r>
        <w:rPr>
          <w:rFonts w:ascii="Calibri" w:hAnsi="Calibri"/>
          <w:b/>
        </w:rPr>
        <w:t xml:space="preserve">CI/CD Readiness: </w:t>
      </w:r>
      <w:r>
        <w:rPr>
          <w:rFonts w:ascii="Calibri" w:hAnsi="Calibri"/>
        </w:rPr>
        <w:t>Verify continuous code integration using automated linting, checking, and docker-build flows via GitHub Actions.</w:t>
      </w:r>
    </w:p>
    <w:p>
      <w:pPr>
        <w:pStyle w:val="ListBullet"/>
        <w:spacing w:after="60"/>
      </w:pPr>
      <w:r>
        <w:rPr>
          <w:rFonts w:ascii="Calibri" w:hAnsi="Calibri"/>
          <w:b/>
        </w:rPr>
        <w:t xml:space="preserve">Production Portability: </w:t>
      </w:r>
      <w:r>
        <w:rPr>
          <w:rFonts w:ascii="Calibri" w:hAnsi="Calibri"/>
        </w:rPr>
        <w:t>Enable one-click containerized deployment using Docker and cloud hosting compatibility (e.g., Render.com).</w:t>
      </w:r>
    </w:p>
    <w:p>
      <w:pPr>
        <w:keepNext/>
        <w:spacing w:before="360" w:after="120"/>
      </w:pPr>
      <w:r>
        <w:rPr>
          <w:rFonts w:ascii="Calibri" w:hAnsi="Calibri"/>
          <w:b/>
          <w:color w:val="1B365D"/>
          <w:sz w:val="32"/>
        </w:rPr>
        <w:t>2. Project Architecture &amp; Technologies Used</w:t>
      </w:r>
    </w:p>
    <w:p>
      <w:r>
        <w:rPr>
          <w:rFonts w:ascii="Calibri" w:hAnsi="Calibri"/>
          <w:i w:val="0"/>
          <w:color w:val="333333"/>
        </w:rPr>
        <w:t>WealthWise employs a decoupled client-server architecture model. The client (frontend) communicating over standard HTTP protocols with the server (FastAPI backend). This ensures rapid data rendering, low server overhead, and clear separation of concerns.</w:t>
      </w:r>
    </w:p>
    <w:p>
      <w:r>
        <w:rPr>
          <w:rFonts w:ascii="Calibri" w:hAnsi="Calibri"/>
          <w:b/>
          <w:color w:val="333333"/>
        </w:rPr>
        <w:t xml:space="preserve">Technology Stack Overview: </w:t>
      </w:r>
      <w:r>
        <w:rPr>
          <w:rFonts w:ascii="Calibri" w:hAnsi="Calibri"/>
          <w:i w:val="0"/>
          <w:color w:val="333333"/>
        </w:rPr>
        <w:t>Below is the comprehensive list of core technology stacks utilized in this project: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c>
          <w:tcPr>
            <w:tcW w:type="dxa" w:w="3120"/>
            <w:shd w:fill="1B365D"/>
            <w:tcMar>
              <w:top w:w="120" w:type="dxa"/>
              <w:bottom w:w="120" w:type="dxa"/>
              <w:left w:w="150" w:type="dxa"/>
              <w:right w:w="150" w:type="dxa"/>
            </w:tcMar>
          </w:tcPr>
          <w:p>
            <w:r>
              <w:rPr>
                <w:b/>
                <w:color w:val="FFFFFF"/>
                <w:sz w:val="20"/>
              </w:rPr>
              <w:t>Component Layer</w:t>
            </w:r>
          </w:p>
        </w:tc>
        <w:tc>
          <w:tcPr>
            <w:tcW w:type="dxa" w:w="3120"/>
            <w:shd w:fill="1B365D"/>
            <w:tcMar>
              <w:top w:w="120" w:type="dxa"/>
              <w:bottom w:w="120" w:type="dxa"/>
              <w:left w:w="150" w:type="dxa"/>
              <w:right w:w="150" w:type="dxa"/>
            </w:tcMar>
          </w:tcPr>
          <w:p>
            <w:r>
              <w:rPr>
                <w:b/>
                <w:color w:val="FFFFFF"/>
                <w:sz w:val="20"/>
              </w:rPr>
              <w:t>Technology Selected</w:t>
            </w:r>
          </w:p>
        </w:tc>
        <w:tc>
          <w:tcPr>
            <w:tcW w:type="dxa" w:w="3120"/>
            <w:shd w:fill="1B365D"/>
            <w:tcMar>
              <w:top w:w="120" w:type="dxa"/>
              <w:bottom w:w="120" w:type="dxa"/>
              <w:left w:w="150" w:type="dxa"/>
              <w:right w:w="150" w:type="dxa"/>
            </w:tcMar>
          </w:tcPr>
          <w:p>
            <w:r>
              <w:rPr>
                <w:b/>
                <w:color w:val="FFFFFF"/>
                <w:sz w:val="20"/>
              </w:rPr>
              <w:t>Technical Rationale</w:t>
            </w:r>
          </w:p>
        </w:tc>
      </w:tr>
      <w:tr>
        <w:tc>
          <w:tcPr>
            <w:tcW w:type="dxa" w:w="3120"/>
            <w:shd w:fill="F2F4F7"/>
            <w:tcMar>
              <w:top w:w="100" w:type="dxa"/>
              <w:bottom w:w="100" w:type="dxa"/>
              <w:left w:w="150" w:type="dxa"/>
              <w:right w:w="150" w:type="dxa"/>
            </w:tcMar>
          </w:tcPr>
          <w:p>
            <w:r>
              <w:rPr>
                <w:color w:val="333333"/>
                <w:sz w:val="19"/>
              </w:rPr>
              <w:t>Backend Framework</w:t>
            </w:r>
          </w:p>
        </w:tc>
        <w:tc>
          <w:tcPr>
            <w:tcW w:type="dxa" w:w="3120"/>
            <w:shd w:fill="F2F4F7"/>
            <w:tcMar>
              <w:top w:w="100" w:type="dxa"/>
              <w:bottom w:w="100" w:type="dxa"/>
              <w:left w:w="150" w:type="dxa"/>
              <w:right w:w="150" w:type="dxa"/>
            </w:tcMar>
          </w:tcPr>
          <w:p>
            <w:r>
              <w:rPr>
                <w:color w:val="333333"/>
                <w:sz w:val="19"/>
              </w:rPr>
              <w:t>FastAPI (Python 3.10+)</w:t>
            </w:r>
          </w:p>
        </w:tc>
        <w:tc>
          <w:tcPr>
            <w:tcW w:type="dxa" w:w="3120"/>
            <w:shd w:fill="F2F4F7"/>
            <w:tcMar>
              <w:top w:w="100" w:type="dxa"/>
              <w:bottom w:w="100" w:type="dxa"/>
              <w:left w:w="150" w:type="dxa"/>
              <w:right w:w="150" w:type="dxa"/>
            </w:tcMar>
          </w:tcPr>
          <w:p>
            <w:r>
              <w:rPr>
                <w:color w:val="333333"/>
                <w:sz w:val="19"/>
              </w:rPr>
              <w:t>Asynchronous capabilities, automatic OpenAPI/Swagger documentation, speed, and Pydantic validation.</w:t>
            </w:r>
          </w:p>
        </w:tc>
      </w:tr>
      <w:tr>
        <w:tc>
          <w:tcPr>
            <w:tcW w:type="dxa" w:w="3120"/>
            <w:shd w:fill="FFFFFF"/>
            <w:tcMar>
              <w:top w:w="100" w:type="dxa"/>
              <w:bottom w:w="100" w:type="dxa"/>
              <w:left w:w="150" w:type="dxa"/>
              <w:right w:w="150" w:type="dxa"/>
            </w:tcMar>
          </w:tcPr>
          <w:p>
            <w:r>
              <w:rPr>
                <w:color w:val="333333"/>
                <w:sz w:val="19"/>
              </w:rPr>
              <w:t>Web Server</w:t>
            </w:r>
          </w:p>
        </w:tc>
        <w:tc>
          <w:tcPr>
            <w:tcW w:type="dxa" w:w="3120"/>
            <w:shd w:fill="FFFFFF"/>
            <w:tcMar>
              <w:top w:w="100" w:type="dxa"/>
              <w:bottom w:w="100" w:type="dxa"/>
              <w:left w:w="150" w:type="dxa"/>
              <w:right w:w="150" w:type="dxa"/>
            </w:tcMar>
          </w:tcPr>
          <w:p>
            <w:r>
              <w:rPr>
                <w:color w:val="333333"/>
                <w:sz w:val="19"/>
              </w:rPr>
              <w:t>Uvicorn</w:t>
            </w:r>
          </w:p>
        </w:tc>
        <w:tc>
          <w:tcPr>
            <w:tcW w:type="dxa" w:w="3120"/>
            <w:shd w:fill="FFFFFF"/>
            <w:tcMar>
              <w:top w:w="100" w:type="dxa"/>
              <w:bottom w:w="100" w:type="dxa"/>
              <w:left w:w="150" w:type="dxa"/>
              <w:right w:w="150" w:type="dxa"/>
            </w:tcMar>
          </w:tcPr>
          <w:p>
            <w:r>
              <w:rPr>
                <w:color w:val="333333"/>
                <w:sz w:val="19"/>
              </w:rPr>
              <w:t>ASGI standard server providing high-throughput request handling.</w:t>
            </w:r>
          </w:p>
        </w:tc>
      </w:tr>
      <w:tr>
        <w:tc>
          <w:tcPr>
            <w:tcW w:type="dxa" w:w="3120"/>
            <w:shd w:fill="F2F4F7"/>
            <w:tcMar>
              <w:top w:w="100" w:type="dxa"/>
              <w:bottom w:w="100" w:type="dxa"/>
              <w:left w:w="150" w:type="dxa"/>
              <w:right w:w="150" w:type="dxa"/>
            </w:tcMar>
          </w:tcPr>
          <w:p>
            <w:r>
              <w:rPr>
                <w:color w:val="333333"/>
                <w:sz w:val="19"/>
              </w:rPr>
              <w:t>Database Engine</w:t>
            </w:r>
          </w:p>
        </w:tc>
        <w:tc>
          <w:tcPr>
            <w:tcW w:type="dxa" w:w="3120"/>
            <w:shd w:fill="F2F4F7"/>
            <w:tcMar>
              <w:top w:w="100" w:type="dxa"/>
              <w:bottom w:w="100" w:type="dxa"/>
              <w:left w:w="150" w:type="dxa"/>
              <w:right w:w="150" w:type="dxa"/>
            </w:tcMar>
          </w:tcPr>
          <w:p>
            <w:r>
              <w:rPr>
                <w:color w:val="333333"/>
                <w:sz w:val="19"/>
              </w:rPr>
              <w:t>SQLite</w:t>
            </w:r>
          </w:p>
        </w:tc>
        <w:tc>
          <w:tcPr>
            <w:tcW w:type="dxa" w:w="3120"/>
            <w:shd w:fill="F2F4F7"/>
            <w:tcMar>
              <w:top w:w="100" w:type="dxa"/>
              <w:bottom w:w="100" w:type="dxa"/>
              <w:left w:w="150" w:type="dxa"/>
              <w:right w:w="150" w:type="dxa"/>
            </w:tcMar>
          </w:tcPr>
          <w:p>
            <w:r>
              <w:rPr>
                <w:color w:val="333333"/>
                <w:sz w:val="19"/>
              </w:rPr>
              <w:t>Zero-configuration file-based SQL database, ideal for lightweight embedded deployment.</w:t>
            </w:r>
          </w:p>
        </w:tc>
      </w:tr>
      <w:tr>
        <w:tc>
          <w:tcPr>
            <w:tcW w:type="dxa" w:w="3120"/>
            <w:shd w:fill="FFFFFF"/>
            <w:tcMar>
              <w:top w:w="100" w:type="dxa"/>
              <w:bottom w:w="100" w:type="dxa"/>
              <w:left w:w="150" w:type="dxa"/>
              <w:right w:w="150" w:type="dxa"/>
            </w:tcMar>
          </w:tcPr>
          <w:p>
            <w:r>
              <w:rPr>
                <w:color w:val="333333"/>
                <w:sz w:val="19"/>
              </w:rPr>
              <w:t>Database ORM</w:t>
            </w:r>
          </w:p>
        </w:tc>
        <w:tc>
          <w:tcPr>
            <w:tcW w:type="dxa" w:w="3120"/>
            <w:shd w:fill="FFFFFF"/>
            <w:tcMar>
              <w:top w:w="100" w:type="dxa"/>
              <w:bottom w:w="100" w:type="dxa"/>
              <w:left w:w="150" w:type="dxa"/>
              <w:right w:w="150" w:type="dxa"/>
            </w:tcMar>
          </w:tcPr>
          <w:p>
            <w:r>
              <w:rPr>
                <w:color w:val="333333"/>
                <w:sz w:val="19"/>
              </w:rPr>
              <w:t>SQLAlchemy 2.0</w:t>
            </w:r>
          </w:p>
        </w:tc>
        <w:tc>
          <w:tcPr>
            <w:tcW w:type="dxa" w:w="3120"/>
            <w:shd w:fill="FFFFFF"/>
            <w:tcMar>
              <w:top w:w="100" w:type="dxa"/>
              <w:bottom w:w="100" w:type="dxa"/>
              <w:left w:w="150" w:type="dxa"/>
              <w:right w:w="150" w:type="dxa"/>
            </w:tcMar>
          </w:tcPr>
          <w:p>
            <w:r>
              <w:rPr>
                <w:color w:val="333333"/>
                <w:sz w:val="19"/>
              </w:rPr>
              <w:t>Provides advanced Object-Relational Mapping to interact with SQL tables via Python classes.</w:t>
            </w:r>
          </w:p>
        </w:tc>
      </w:tr>
      <w:tr>
        <w:tc>
          <w:tcPr>
            <w:tcW w:type="dxa" w:w="3120"/>
            <w:shd w:fill="F2F4F7"/>
            <w:tcMar>
              <w:top w:w="100" w:type="dxa"/>
              <w:bottom w:w="100" w:type="dxa"/>
              <w:left w:w="150" w:type="dxa"/>
              <w:right w:w="150" w:type="dxa"/>
            </w:tcMar>
          </w:tcPr>
          <w:p>
            <w:r>
              <w:rPr>
                <w:color w:val="333333"/>
                <w:sz w:val="19"/>
              </w:rPr>
              <w:t>Frontend Layout</w:t>
            </w:r>
          </w:p>
        </w:tc>
        <w:tc>
          <w:tcPr>
            <w:tcW w:type="dxa" w:w="3120"/>
            <w:shd w:fill="F2F4F7"/>
            <w:tcMar>
              <w:top w:w="100" w:type="dxa"/>
              <w:bottom w:w="100" w:type="dxa"/>
              <w:left w:w="150" w:type="dxa"/>
              <w:right w:w="150" w:type="dxa"/>
            </w:tcMar>
          </w:tcPr>
          <w:p>
            <w:r>
              <w:rPr>
                <w:color w:val="333333"/>
                <w:sz w:val="19"/>
              </w:rPr>
              <w:t>HTML5 &amp; Vanilla CSS3</w:t>
            </w:r>
          </w:p>
        </w:tc>
        <w:tc>
          <w:tcPr>
            <w:tcW w:type="dxa" w:w="3120"/>
            <w:shd w:fill="F2F4F7"/>
            <w:tcMar>
              <w:top w:w="100" w:type="dxa"/>
              <w:bottom w:w="100" w:type="dxa"/>
              <w:left w:w="150" w:type="dxa"/>
              <w:right w:w="150" w:type="dxa"/>
            </w:tcMar>
          </w:tcPr>
          <w:p>
            <w:r>
              <w:rPr>
                <w:color w:val="333333"/>
                <w:sz w:val="19"/>
              </w:rPr>
              <w:t>Ensures zero third-party framework overhead, rendering clean custom components, grids, and variables.</w:t>
            </w:r>
          </w:p>
        </w:tc>
      </w:tr>
      <w:tr>
        <w:tc>
          <w:tcPr>
            <w:tcW w:type="dxa" w:w="3120"/>
            <w:shd w:fill="FFFFFF"/>
            <w:tcMar>
              <w:top w:w="100" w:type="dxa"/>
              <w:bottom w:w="100" w:type="dxa"/>
              <w:left w:w="150" w:type="dxa"/>
              <w:right w:w="150" w:type="dxa"/>
            </w:tcMar>
          </w:tcPr>
          <w:p>
            <w:r>
              <w:rPr>
                <w:color w:val="333333"/>
                <w:sz w:val="19"/>
              </w:rPr>
              <w:t>Frontend Scripting</w:t>
            </w:r>
          </w:p>
        </w:tc>
        <w:tc>
          <w:tcPr>
            <w:tcW w:type="dxa" w:w="3120"/>
            <w:shd w:fill="FFFFFF"/>
            <w:tcMar>
              <w:top w:w="100" w:type="dxa"/>
              <w:bottom w:w="100" w:type="dxa"/>
              <w:left w:w="150" w:type="dxa"/>
              <w:right w:w="150" w:type="dxa"/>
            </w:tcMar>
          </w:tcPr>
          <w:p>
            <w:r>
              <w:rPr>
                <w:color w:val="333333"/>
                <w:sz w:val="19"/>
              </w:rPr>
              <w:t>Vanilla JavaScript (ES6)</w:t>
            </w:r>
          </w:p>
        </w:tc>
        <w:tc>
          <w:tcPr>
            <w:tcW w:type="dxa" w:w="3120"/>
            <w:shd w:fill="FFFFFF"/>
            <w:tcMar>
              <w:top w:w="100" w:type="dxa"/>
              <w:bottom w:w="100" w:type="dxa"/>
              <w:left w:w="150" w:type="dxa"/>
              <w:right w:w="150" w:type="dxa"/>
            </w:tcMar>
          </w:tcPr>
          <w:p>
            <w:r>
              <w:rPr>
                <w:color w:val="333333"/>
                <w:sz w:val="19"/>
              </w:rPr>
              <w:t>Utilizes asynchronous Fetch API for server-client networking, dynamic DOM insertion, and state tracking.</w:t>
            </w:r>
          </w:p>
        </w:tc>
      </w:tr>
      <w:tr>
        <w:tc>
          <w:tcPr>
            <w:tcW w:type="dxa" w:w="3120"/>
            <w:shd w:fill="F2F4F7"/>
            <w:tcMar>
              <w:top w:w="100" w:type="dxa"/>
              <w:bottom w:w="100" w:type="dxa"/>
              <w:left w:w="150" w:type="dxa"/>
              <w:right w:w="150" w:type="dxa"/>
            </w:tcMar>
          </w:tcPr>
          <w:p>
            <w:r>
              <w:rPr>
                <w:color w:val="333333"/>
                <w:sz w:val="19"/>
              </w:rPr>
              <w:t>Containerization</w:t>
            </w:r>
          </w:p>
        </w:tc>
        <w:tc>
          <w:tcPr>
            <w:tcW w:type="dxa" w:w="3120"/>
            <w:shd w:fill="F2F4F7"/>
            <w:tcMar>
              <w:top w:w="100" w:type="dxa"/>
              <w:bottom w:w="100" w:type="dxa"/>
              <w:left w:w="150" w:type="dxa"/>
              <w:right w:w="150" w:type="dxa"/>
            </w:tcMar>
          </w:tcPr>
          <w:p>
            <w:r>
              <w:rPr>
                <w:color w:val="333333"/>
                <w:sz w:val="19"/>
              </w:rPr>
              <w:t>Docker (python:3.10-slim)</w:t>
            </w:r>
          </w:p>
        </w:tc>
        <w:tc>
          <w:tcPr>
            <w:tcW w:type="dxa" w:w="3120"/>
            <w:shd w:fill="F2F4F7"/>
            <w:tcMar>
              <w:top w:w="100" w:type="dxa"/>
              <w:bottom w:w="100" w:type="dxa"/>
              <w:left w:w="150" w:type="dxa"/>
              <w:right w:w="150" w:type="dxa"/>
            </w:tcMar>
          </w:tcPr>
          <w:p>
            <w:r>
              <w:rPr>
                <w:color w:val="333333"/>
                <w:sz w:val="19"/>
              </w:rPr>
              <w:t>Enables isolated deployment inside standard Docker engines, packaging all necessary libraries.</w:t>
            </w:r>
          </w:p>
        </w:tc>
      </w:tr>
      <w:tr>
        <w:tc>
          <w:tcPr>
            <w:tcW w:type="dxa" w:w="3120"/>
            <w:shd w:fill="FFFFFF"/>
            <w:tcMar>
              <w:top w:w="100" w:type="dxa"/>
              <w:bottom w:w="100" w:type="dxa"/>
              <w:left w:w="150" w:type="dxa"/>
              <w:right w:w="150" w:type="dxa"/>
            </w:tcMar>
          </w:tcPr>
          <w:p>
            <w:r>
              <w:rPr>
                <w:color w:val="333333"/>
                <w:sz w:val="19"/>
              </w:rPr>
              <w:t>CI/CD pipeline</w:t>
            </w:r>
          </w:p>
        </w:tc>
        <w:tc>
          <w:tcPr>
            <w:tcW w:type="dxa" w:w="3120"/>
            <w:shd w:fill="FFFFFF"/>
            <w:tcMar>
              <w:top w:w="100" w:type="dxa"/>
              <w:bottom w:w="100" w:type="dxa"/>
              <w:left w:w="150" w:type="dxa"/>
              <w:right w:w="150" w:type="dxa"/>
            </w:tcMar>
          </w:tcPr>
          <w:p>
            <w:r>
              <w:rPr>
                <w:color w:val="333333"/>
                <w:sz w:val="19"/>
              </w:rPr>
              <w:t>GitHub Actions</w:t>
            </w:r>
          </w:p>
        </w:tc>
        <w:tc>
          <w:tcPr>
            <w:tcW w:type="dxa" w:w="3120"/>
            <w:shd w:fill="FFFFFF"/>
            <w:tcMar>
              <w:top w:w="100" w:type="dxa"/>
              <w:bottom w:w="100" w:type="dxa"/>
              <w:left w:w="150" w:type="dxa"/>
              <w:right w:w="150" w:type="dxa"/>
            </w:tcMar>
          </w:tcPr>
          <w:p>
            <w:r>
              <w:rPr>
                <w:color w:val="333333"/>
                <w:sz w:val="19"/>
              </w:rPr>
              <w:t>Triggers automatic dependency installation, Python syntax checking, and Docker image builds upon code push.</w:t>
            </w:r>
          </w:p>
        </w:tc>
      </w:tr>
    </w:tbl>
    <w:p>
      <w:r>
        <w:br w:type="page"/>
      </w:r>
    </w:p>
    <w:p>
      <w:pPr>
        <w:keepNext/>
        <w:spacing w:before="360" w:after="120"/>
      </w:pPr>
      <w:r>
        <w:rPr>
          <w:rFonts w:ascii="Calibri" w:hAnsi="Calibri"/>
          <w:b/>
          <w:color w:val="1B365D"/>
          <w:sz w:val="32"/>
        </w:rPr>
        <w:t>3. System Features &amp; Functional Modules</w:t>
      </w:r>
    </w:p>
    <w:p>
      <w:r>
        <w:rPr>
          <w:rFonts w:ascii="Calibri" w:hAnsi="Calibri"/>
          <w:i w:val="0"/>
          <w:color w:val="333333"/>
        </w:rPr>
        <w:t>WealthWise is designed as a single workspace split into interactive sections. The primary functional modules are:</w:t>
      </w:r>
    </w:p>
    <w:p>
      <w:pPr>
        <w:keepNext/>
        <w:spacing w:before="240" w:after="80"/>
      </w:pPr>
      <w:r>
        <w:rPr>
          <w:rFonts w:ascii="Calibri" w:hAnsi="Calibri"/>
          <w:b/>
          <w:color w:val="4A777A"/>
          <w:sz w:val="26"/>
        </w:rPr>
        <w:t>A. Real-Time Dashboard Summary</w:t>
      </w:r>
    </w:p>
    <w:p>
      <w:r>
        <w:rPr>
          <w:rFonts w:ascii="Calibri" w:hAnsi="Calibri"/>
          <w:i w:val="0"/>
          <w:color w:val="333333"/>
        </w:rPr>
        <w:t>Located at the top of the interface, the dashboard provides a high-level summary of the user's finances. It updates instantly whenever transactions are added, edited, or deleted. It includes:</w:t>
      </w:r>
    </w:p>
    <w:p>
      <w:pPr>
        <w:pStyle w:val="ListBullet"/>
        <w:spacing w:after="60"/>
      </w:pPr>
      <w:r>
        <w:rPr>
          <w:rFonts w:ascii="Calibri" w:hAnsi="Calibri"/>
          <w:b/>
        </w:rPr>
        <w:t xml:space="preserve">Total Spending Widget: </w:t>
      </w:r>
      <w:r>
        <w:rPr>
          <w:rFonts w:ascii="Calibri" w:hAnsi="Calibri"/>
        </w:rPr>
        <w:t>Aggregates the total spending from all saved transactions, styled in Indian Rupees (₹).</w:t>
      </w:r>
    </w:p>
    <w:p>
      <w:pPr>
        <w:pStyle w:val="ListBullet"/>
        <w:spacing w:after="60"/>
      </w:pPr>
      <w:r>
        <w:rPr>
          <w:rFonts w:ascii="Calibri" w:hAnsi="Calibri"/>
          <w:b/>
        </w:rPr>
        <w:t xml:space="preserve">Transaction Counter Widget: </w:t>
      </w:r>
      <w:r>
        <w:rPr>
          <w:rFonts w:ascii="Calibri" w:hAnsi="Calibri"/>
        </w:rPr>
        <w:t>Displays the total count of expenses currently recorded in the system.</w:t>
      </w:r>
    </w:p>
    <w:p>
      <w:pPr>
        <w:pStyle w:val="ListBullet"/>
        <w:spacing w:after="60"/>
      </w:pPr>
      <w:r>
        <w:rPr>
          <w:rFonts w:ascii="Calibri" w:hAnsi="Calibri"/>
          <w:b/>
        </w:rPr>
        <w:t xml:space="preserve">Top Category Widget: </w:t>
      </w:r>
      <w:r>
        <w:rPr>
          <w:rFonts w:ascii="Calibri" w:hAnsi="Calibri"/>
        </w:rPr>
        <w:t>Identifies the category with the highest cumulative spending and displays both the category name and its total amount.</w:t>
      </w:r>
    </w:p>
    <w:p>
      <w:pPr>
        <w:keepNext/>
        <w:spacing w:before="240" w:after="80"/>
      </w:pPr>
      <w:r>
        <w:rPr>
          <w:rFonts w:ascii="Calibri" w:hAnsi="Calibri"/>
          <w:b/>
          <w:color w:val="4A777A"/>
          <w:sz w:val="26"/>
        </w:rPr>
        <w:t>B. Dynamic Expense Entry Form</w:t>
      </w:r>
    </w:p>
    <w:p>
      <w:r>
        <w:rPr>
          <w:rFonts w:ascii="Calibri" w:hAnsi="Calibri"/>
          <w:i w:val="0"/>
          <w:color w:val="333333"/>
        </w:rPr>
        <w:t>The left sidebar contains a form allowing the creation of new transactions or editing of existing ones. The form incorporates validation constraints, such as requiring titles, enforcing strictly positive expense amounts (minimum ₹0.01), and a calendar selector for transaction dates.</w:t>
      </w:r>
    </w:p>
    <w:p>
      <w:pPr>
        <w:keepNext/>
        <w:spacing w:before="240" w:after="80"/>
      </w:pPr>
      <w:r>
        <w:rPr>
          <w:rFonts w:ascii="Calibri" w:hAnsi="Calibri"/>
          <w:b/>
          <w:color w:val="4A777A"/>
          <w:sz w:val="26"/>
        </w:rPr>
        <w:t>C. Spending by Category Progress Indicators</w:t>
      </w:r>
    </w:p>
    <w:p>
      <w:r>
        <w:rPr>
          <w:rFonts w:ascii="Calibri" w:hAnsi="Calibri"/>
          <w:i w:val="0"/>
          <w:color w:val="333333"/>
        </w:rPr>
        <w:t>The right-hand panel visualizes the breakdown of spending across predefined categories: Food, Shopping, Travel, Bills, Entertainment, and Other. Muted progress bars display the percentage breakdown of spending relative to the total expenditure, updating in real time.</w:t>
      </w:r>
    </w:p>
    <w:p>
      <w:pPr>
        <w:keepNext/>
        <w:spacing w:before="240" w:after="80"/>
      </w:pPr>
      <w:r>
        <w:rPr>
          <w:rFonts w:ascii="Calibri" w:hAnsi="Calibri"/>
          <w:b/>
          <w:color w:val="4A777A"/>
          <w:sz w:val="26"/>
        </w:rPr>
        <w:t>D. Interactive Transaction Log</w:t>
      </w:r>
    </w:p>
    <w:p>
      <w:r>
        <w:rPr>
          <w:rFonts w:ascii="Calibri" w:hAnsi="Calibri"/>
          <w:i w:val="0"/>
          <w:color w:val="333333"/>
        </w:rPr>
        <w:t>All transactions are displayed in a clean tabular view ordered chronologically (newest first). Each transaction card lists the date, title, category badge, amount, and notes. Row actions permit updating (reloading parameters into the entry form) or deleting (with confirmation alerts) transactions instantly.</w:t>
      </w:r>
    </w:p>
    <w:p>
      <w:r>
        <w:br w:type="page"/>
      </w:r>
    </w:p>
    <w:p>
      <w:pPr>
        <w:keepNext/>
        <w:spacing w:before="360" w:after="120"/>
      </w:pPr>
      <w:r>
        <w:rPr>
          <w:rFonts w:ascii="Calibri" w:hAnsi="Calibri"/>
          <w:b/>
          <w:color w:val="1B365D"/>
          <w:sz w:val="32"/>
        </w:rPr>
        <w:t>4. Database Schema and Data Models</w:t>
      </w:r>
    </w:p>
    <w:p>
      <w:r>
        <w:rPr>
          <w:rFonts w:ascii="Calibri" w:hAnsi="Calibri"/>
          <w:i w:val="0"/>
          <w:color w:val="333333"/>
        </w:rPr>
        <w:t>WealthWise stores and retrieves transactions from a single table named `expenses`. The schema is mapped in python using SQLAlchemy's Declarative Mapping system. This maps standard Python types to SQL fields.</w:t>
      </w:r>
    </w:p>
    <w:p>
      <w:pPr>
        <w:keepNext/>
        <w:spacing w:before="240" w:after="80"/>
      </w:pPr>
      <w:r>
        <w:rPr>
          <w:rFonts w:ascii="Calibri" w:hAnsi="Calibri"/>
          <w:b/>
          <w:color w:val="4A777A"/>
          <w:sz w:val="26"/>
        </w:rPr>
        <w:t>Database Entity-Relationship Definition</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sz w:val="20"/>
              </w:rPr>
              <w:t>Column Name</w:t>
            </w:r>
          </w:p>
        </w:tc>
        <w:tc>
          <w:tcPr>
            <w:tcW w:type="dxa" w:w="2340"/>
            <w:shd w:fill="1B365D"/>
            <w:tcMar>
              <w:top w:w="120" w:type="dxa"/>
              <w:bottom w:w="120" w:type="dxa"/>
              <w:left w:w="150" w:type="dxa"/>
              <w:right w:w="150" w:type="dxa"/>
            </w:tcMar>
          </w:tcPr>
          <w:p>
            <w:r>
              <w:rPr>
                <w:b/>
                <w:color w:val="FFFFFF"/>
                <w:sz w:val="20"/>
              </w:rPr>
              <w:t>Data Type</w:t>
            </w:r>
          </w:p>
        </w:tc>
        <w:tc>
          <w:tcPr>
            <w:tcW w:type="dxa" w:w="2340"/>
            <w:shd w:fill="1B365D"/>
            <w:tcMar>
              <w:top w:w="120" w:type="dxa"/>
              <w:bottom w:w="120" w:type="dxa"/>
              <w:left w:w="150" w:type="dxa"/>
              <w:right w:w="150" w:type="dxa"/>
            </w:tcMar>
          </w:tcPr>
          <w:p>
            <w:r>
              <w:rPr>
                <w:b/>
                <w:color w:val="FFFFFF"/>
                <w:sz w:val="20"/>
              </w:rPr>
              <w:t>Constraints</w:t>
            </w:r>
          </w:p>
        </w:tc>
        <w:tc>
          <w:tcPr>
            <w:tcW w:type="dxa" w:w="2340"/>
            <w:shd w:fill="1B365D"/>
            <w:tcMar>
              <w:top w:w="120" w:type="dxa"/>
              <w:bottom w:w="120" w:type="dxa"/>
              <w:left w:w="150" w:type="dxa"/>
              <w:right w:w="150" w:type="dxa"/>
            </w:tcMar>
          </w:tcPr>
          <w:p>
            <w:r>
              <w:rPr>
                <w:b/>
                <w:color w:val="FFFFFF"/>
                <w:sz w:val="20"/>
              </w:rPr>
              <w:t>Description</w:t>
            </w:r>
          </w:p>
        </w:tc>
      </w:tr>
      <w:tr>
        <w:tc>
          <w:tcPr>
            <w:tcW w:type="dxa" w:w="2340"/>
            <w:shd w:fill="F2F4F7"/>
            <w:tcMar>
              <w:top w:w="100" w:type="dxa"/>
              <w:bottom w:w="100" w:type="dxa"/>
              <w:left w:w="150" w:type="dxa"/>
              <w:right w:w="150" w:type="dxa"/>
            </w:tcMar>
          </w:tcPr>
          <w:p>
            <w:r>
              <w:rPr>
                <w:color w:val="333333"/>
                <w:sz w:val="19"/>
              </w:rPr>
              <w:t>id</w:t>
            </w:r>
          </w:p>
        </w:tc>
        <w:tc>
          <w:tcPr>
            <w:tcW w:type="dxa" w:w="2340"/>
            <w:shd w:fill="F2F4F7"/>
            <w:tcMar>
              <w:top w:w="100" w:type="dxa"/>
              <w:bottom w:w="100" w:type="dxa"/>
              <w:left w:w="150" w:type="dxa"/>
              <w:right w:w="150" w:type="dxa"/>
            </w:tcMar>
          </w:tcPr>
          <w:p>
            <w:r>
              <w:rPr>
                <w:color w:val="333333"/>
                <w:sz w:val="19"/>
              </w:rPr>
              <w:t>INTEGER</w:t>
            </w:r>
          </w:p>
        </w:tc>
        <w:tc>
          <w:tcPr>
            <w:tcW w:type="dxa" w:w="2340"/>
            <w:shd w:fill="F2F4F7"/>
            <w:tcMar>
              <w:top w:w="100" w:type="dxa"/>
              <w:bottom w:w="100" w:type="dxa"/>
              <w:left w:w="150" w:type="dxa"/>
              <w:right w:w="150" w:type="dxa"/>
            </w:tcMar>
          </w:tcPr>
          <w:p>
            <w:r>
              <w:rPr>
                <w:color w:val="333333"/>
                <w:sz w:val="19"/>
              </w:rPr>
              <w:t>PRIMARY KEY, INDEX, AUTOINCREMENT</w:t>
            </w:r>
          </w:p>
        </w:tc>
        <w:tc>
          <w:tcPr>
            <w:tcW w:type="dxa" w:w="2340"/>
            <w:shd w:fill="F2F4F7"/>
            <w:tcMar>
              <w:top w:w="100" w:type="dxa"/>
              <w:bottom w:w="100" w:type="dxa"/>
              <w:left w:w="150" w:type="dxa"/>
              <w:right w:w="150" w:type="dxa"/>
            </w:tcMar>
          </w:tcPr>
          <w:p>
            <w:r>
              <w:rPr>
                <w:color w:val="333333"/>
                <w:sz w:val="19"/>
              </w:rPr>
              <w:t>Unique identification number of the transaction.</w:t>
            </w:r>
          </w:p>
        </w:tc>
      </w:tr>
      <w:tr>
        <w:tc>
          <w:tcPr>
            <w:tcW w:type="dxa" w:w="2340"/>
            <w:shd w:fill="FFFFFF"/>
            <w:tcMar>
              <w:top w:w="100" w:type="dxa"/>
              <w:bottom w:w="100" w:type="dxa"/>
              <w:left w:w="150" w:type="dxa"/>
              <w:right w:w="150" w:type="dxa"/>
            </w:tcMar>
          </w:tcPr>
          <w:p>
            <w:r>
              <w:rPr>
                <w:color w:val="333333"/>
                <w:sz w:val="19"/>
              </w:rPr>
              <w:t>title</w:t>
            </w:r>
          </w:p>
        </w:tc>
        <w:tc>
          <w:tcPr>
            <w:tcW w:type="dxa" w:w="2340"/>
            <w:shd w:fill="FFFFFF"/>
            <w:tcMar>
              <w:top w:w="100" w:type="dxa"/>
              <w:bottom w:w="100" w:type="dxa"/>
              <w:left w:w="150" w:type="dxa"/>
              <w:right w:w="150" w:type="dxa"/>
            </w:tcMar>
          </w:tcPr>
          <w:p>
            <w:r>
              <w:rPr>
                <w:color w:val="333333"/>
                <w:sz w:val="19"/>
              </w:rPr>
              <w:t>VARCHAR(100)</w:t>
            </w:r>
          </w:p>
        </w:tc>
        <w:tc>
          <w:tcPr>
            <w:tcW w:type="dxa" w:w="2340"/>
            <w:shd w:fill="FFFFFF"/>
            <w:tcMar>
              <w:top w:w="100" w:type="dxa"/>
              <w:bottom w:w="100" w:type="dxa"/>
              <w:left w:w="150" w:type="dxa"/>
              <w:right w:w="150" w:type="dxa"/>
            </w:tcMar>
          </w:tcPr>
          <w:p>
            <w:r>
              <w:rPr>
                <w:color w:val="333333"/>
                <w:sz w:val="19"/>
              </w:rPr>
              <w:t>INDEX, NOT NULL</w:t>
            </w:r>
          </w:p>
        </w:tc>
        <w:tc>
          <w:tcPr>
            <w:tcW w:type="dxa" w:w="2340"/>
            <w:shd w:fill="FFFFFF"/>
            <w:tcMar>
              <w:top w:w="100" w:type="dxa"/>
              <w:bottom w:w="100" w:type="dxa"/>
              <w:left w:w="150" w:type="dxa"/>
              <w:right w:w="150" w:type="dxa"/>
            </w:tcMar>
          </w:tcPr>
          <w:p>
            <w:r>
              <w:rPr>
                <w:color w:val="333333"/>
                <w:sz w:val="19"/>
              </w:rPr>
              <w:t>Descriptive title of the expense (e.g., 'Weekly Groceries').</w:t>
            </w:r>
          </w:p>
        </w:tc>
      </w:tr>
      <w:tr>
        <w:tc>
          <w:tcPr>
            <w:tcW w:type="dxa" w:w="2340"/>
            <w:shd w:fill="F2F4F7"/>
            <w:tcMar>
              <w:top w:w="100" w:type="dxa"/>
              <w:bottom w:w="100" w:type="dxa"/>
              <w:left w:w="150" w:type="dxa"/>
              <w:right w:w="150" w:type="dxa"/>
            </w:tcMar>
          </w:tcPr>
          <w:p>
            <w:r>
              <w:rPr>
                <w:color w:val="333333"/>
                <w:sz w:val="19"/>
              </w:rPr>
              <w:t>amount</w:t>
            </w:r>
          </w:p>
        </w:tc>
        <w:tc>
          <w:tcPr>
            <w:tcW w:type="dxa" w:w="2340"/>
            <w:shd w:fill="F2F4F7"/>
            <w:tcMar>
              <w:top w:w="100" w:type="dxa"/>
              <w:bottom w:w="100" w:type="dxa"/>
              <w:left w:w="150" w:type="dxa"/>
              <w:right w:w="150" w:type="dxa"/>
            </w:tcMar>
          </w:tcPr>
          <w:p>
            <w:r>
              <w:rPr>
                <w:color w:val="333333"/>
                <w:sz w:val="19"/>
              </w:rPr>
              <w:t>DOUBLE / FLOAT</w:t>
            </w:r>
          </w:p>
        </w:tc>
        <w:tc>
          <w:tcPr>
            <w:tcW w:type="dxa" w:w="2340"/>
            <w:shd w:fill="F2F4F7"/>
            <w:tcMar>
              <w:top w:w="100" w:type="dxa"/>
              <w:bottom w:w="100" w:type="dxa"/>
              <w:left w:w="150" w:type="dxa"/>
              <w:right w:w="150" w:type="dxa"/>
            </w:tcMar>
          </w:tcPr>
          <w:p>
            <w:r>
              <w:rPr>
                <w:color w:val="333333"/>
                <w:sz w:val="19"/>
              </w:rPr>
              <w:t>NOT NULL, &gt; 0.00</w:t>
            </w:r>
          </w:p>
        </w:tc>
        <w:tc>
          <w:tcPr>
            <w:tcW w:type="dxa" w:w="2340"/>
            <w:shd w:fill="F2F4F7"/>
            <w:tcMar>
              <w:top w:w="100" w:type="dxa"/>
              <w:bottom w:w="100" w:type="dxa"/>
              <w:left w:w="150" w:type="dxa"/>
              <w:right w:w="150" w:type="dxa"/>
            </w:tcMar>
          </w:tcPr>
          <w:p>
            <w:r>
              <w:rPr>
                <w:color w:val="333333"/>
                <w:sz w:val="19"/>
              </w:rPr>
              <w:t>Amount in Indian Rupees spent on this expense transaction.</w:t>
            </w:r>
          </w:p>
        </w:tc>
      </w:tr>
      <w:tr>
        <w:tc>
          <w:tcPr>
            <w:tcW w:type="dxa" w:w="2340"/>
            <w:shd w:fill="FFFFFF"/>
            <w:tcMar>
              <w:top w:w="100" w:type="dxa"/>
              <w:bottom w:w="100" w:type="dxa"/>
              <w:left w:w="150" w:type="dxa"/>
              <w:right w:w="150" w:type="dxa"/>
            </w:tcMar>
          </w:tcPr>
          <w:p>
            <w:r>
              <w:rPr>
                <w:color w:val="333333"/>
                <w:sz w:val="19"/>
              </w:rPr>
              <w:t>category</w:t>
            </w:r>
          </w:p>
        </w:tc>
        <w:tc>
          <w:tcPr>
            <w:tcW w:type="dxa" w:w="2340"/>
            <w:shd w:fill="FFFFFF"/>
            <w:tcMar>
              <w:top w:w="100" w:type="dxa"/>
              <w:bottom w:w="100" w:type="dxa"/>
              <w:left w:w="150" w:type="dxa"/>
              <w:right w:w="150" w:type="dxa"/>
            </w:tcMar>
          </w:tcPr>
          <w:p>
            <w:r>
              <w:rPr>
                <w:color w:val="333333"/>
                <w:sz w:val="19"/>
              </w:rPr>
              <w:t>VARCHAR(50)</w:t>
            </w:r>
          </w:p>
        </w:tc>
        <w:tc>
          <w:tcPr>
            <w:tcW w:type="dxa" w:w="2340"/>
            <w:shd w:fill="FFFFFF"/>
            <w:tcMar>
              <w:top w:w="100" w:type="dxa"/>
              <w:bottom w:w="100" w:type="dxa"/>
              <w:left w:w="150" w:type="dxa"/>
              <w:right w:w="150" w:type="dxa"/>
            </w:tcMar>
          </w:tcPr>
          <w:p>
            <w:r>
              <w:rPr>
                <w:color w:val="333333"/>
                <w:sz w:val="19"/>
              </w:rPr>
              <w:t>INDEX, NOT NULL</w:t>
            </w:r>
          </w:p>
        </w:tc>
        <w:tc>
          <w:tcPr>
            <w:tcW w:type="dxa" w:w="2340"/>
            <w:shd w:fill="FFFFFF"/>
            <w:tcMar>
              <w:top w:w="100" w:type="dxa"/>
              <w:bottom w:w="100" w:type="dxa"/>
              <w:left w:w="150" w:type="dxa"/>
              <w:right w:w="150" w:type="dxa"/>
            </w:tcMar>
          </w:tcPr>
          <w:p>
            <w:r>
              <w:rPr>
                <w:color w:val="333333"/>
                <w:sz w:val="19"/>
              </w:rPr>
              <w:t>The category class of the expense (Food, Travel, Bills, etc.).</w:t>
            </w:r>
          </w:p>
        </w:tc>
      </w:tr>
      <w:tr>
        <w:tc>
          <w:tcPr>
            <w:tcW w:type="dxa" w:w="2340"/>
            <w:shd w:fill="F2F4F7"/>
            <w:tcMar>
              <w:top w:w="100" w:type="dxa"/>
              <w:bottom w:w="100" w:type="dxa"/>
              <w:left w:w="150" w:type="dxa"/>
              <w:right w:w="150" w:type="dxa"/>
            </w:tcMar>
          </w:tcPr>
          <w:p>
            <w:r>
              <w:rPr>
                <w:color w:val="333333"/>
                <w:sz w:val="19"/>
              </w:rPr>
              <w:t>date</w:t>
            </w:r>
          </w:p>
        </w:tc>
        <w:tc>
          <w:tcPr>
            <w:tcW w:type="dxa" w:w="2340"/>
            <w:shd w:fill="F2F4F7"/>
            <w:tcMar>
              <w:top w:w="100" w:type="dxa"/>
              <w:bottom w:w="100" w:type="dxa"/>
              <w:left w:w="150" w:type="dxa"/>
              <w:right w:w="150" w:type="dxa"/>
            </w:tcMar>
          </w:tcPr>
          <w:p>
            <w:r>
              <w:rPr>
                <w:color w:val="333333"/>
                <w:sz w:val="19"/>
              </w:rPr>
              <w:t>DATE</w:t>
            </w:r>
          </w:p>
        </w:tc>
        <w:tc>
          <w:tcPr>
            <w:tcW w:type="dxa" w:w="2340"/>
            <w:shd w:fill="F2F4F7"/>
            <w:tcMar>
              <w:top w:w="100" w:type="dxa"/>
              <w:bottom w:w="100" w:type="dxa"/>
              <w:left w:w="150" w:type="dxa"/>
              <w:right w:w="150" w:type="dxa"/>
            </w:tcMar>
          </w:tcPr>
          <w:p>
            <w:r>
              <w:rPr>
                <w:color w:val="333333"/>
                <w:sz w:val="19"/>
              </w:rPr>
              <w:t>NOT NULL</w:t>
            </w:r>
          </w:p>
        </w:tc>
        <w:tc>
          <w:tcPr>
            <w:tcW w:type="dxa" w:w="2340"/>
            <w:shd w:fill="F2F4F7"/>
            <w:tcMar>
              <w:top w:w="100" w:type="dxa"/>
              <w:bottom w:w="100" w:type="dxa"/>
              <w:left w:w="150" w:type="dxa"/>
              <w:right w:w="150" w:type="dxa"/>
            </w:tcMar>
          </w:tcPr>
          <w:p>
            <w:r>
              <w:rPr>
                <w:color w:val="333333"/>
                <w:sz w:val="19"/>
              </w:rPr>
              <w:t>The calendar date on which the transaction occurred (YYYY-MM-DD).</w:t>
            </w:r>
          </w:p>
        </w:tc>
      </w:tr>
      <w:tr>
        <w:tc>
          <w:tcPr>
            <w:tcW w:type="dxa" w:w="2340"/>
            <w:shd w:fill="FFFFFF"/>
            <w:tcMar>
              <w:top w:w="100" w:type="dxa"/>
              <w:bottom w:w="100" w:type="dxa"/>
              <w:left w:w="150" w:type="dxa"/>
              <w:right w:w="150" w:type="dxa"/>
            </w:tcMar>
          </w:tcPr>
          <w:p>
            <w:r>
              <w:rPr>
                <w:color w:val="333333"/>
                <w:sz w:val="19"/>
              </w:rPr>
              <w:t>notes</w:t>
            </w:r>
          </w:p>
        </w:tc>
        <w:tc>
          <w:tcPr>
            <w:tcW w:type="dxa" w:w="2340"/>
            <w:shd w:fill="FFFFFF"/>
            <w:tcMar>
              <w:top w:w="100" w:type="dxa"/>
              <w:bottom w:w="100" w:type="dxa"/>
              <w:left w:w="150" w:type="dxa"/>
              <w:right w:w="150" w:type="dxa"/>
            </w:tcMar>
          </w:tcPr>
          <w:p>
            <w:r>
              <w:rPr>
                <w:color w:val="333333"/>
                <w:sz w:val="19"/>
              </w:rPr>
              <w:t>VARCHAR(500)</w:t>
            </w:r>
          </w:p>
        </w:tc>
        <w:tc>
          <w:tcPr>
            <w:tcW w:type="dxa" w:w="2340"/>
            <w:shd w:fill="FFFFFF"/>
            <w:tcMar>
              <w:top w:w="100" w:type="dxa"/>
              <w:bottom w:w="100" w:type="dxa"/>
              <w:left w:w="150" w:type="dxa"/>
              <w:right w:w="150" w:type="dxa"/>
            </w:tcMar>
          </w:tcPr>
          <w:p>
            <w:r>
              <w:rPr>
                <w:color w:val="333333"/>
                <w:sz w:val="19"/>
              </w:rPr>
              <w:t>NULLABLE</w:t>
            </w:r>
          </w:p>
        </w:tc>
        <w:tc>
          <w:tcPr>
            <w:tcW w:type="dxa" w:w="2340"/>
            <w:shd w:fill="FFFFFF"/>
            <w:tcMar>
              <w:top w:w="100" w:type="dxa"/>
              <w:bottom w:w="100" w:type="dxa"/>
              <w:left w:w="150" w:type="dxa"/>
              <w:right w:w="150" w:type="dxa"/>
            </w:tcMar>
          </w:tcPr>
          <w:p>
            <w:r>
              <w:rPr>
                <w:color w:val="333333"/>
                <w:sz w:val="19"/>
              </w:rPr>
              <w:t>Optional detailed logs or notes for the transaction.</w:t>
            </w:r>
          </w:p>
        </w:tc>
      </w:tr>
    </w:tbl>
    <w:p>
      <w:pPr>
        <w:keepNext/>
        <w:spacing w:before="240" w:after="80"/>
      </w:pPr>
      <w:r>
        <w:rPr>
          <w:rFonts w:ascii="Calibri" w:hAnsi="Calibri"/>
          <w:b/>
          <w:color w:val="4A777A"/>
          <w:sz w:val="26"/>
        </w:rPr>
        <w:t>ORM Model Definition in Python (SQLAlchemy)</w:t>
      </w:r>
    </w:p>
    <w:p>
      <w:r>
        <w:rPr>
          <w:rFonts w:ascii="Calibri" w:hAnsi="Calibri"/>
          <w:i w:val="0"/>
          <w:color w:val="333333"/>
        </w:rPr>
        <w:t>The SQLAlchemy class schema implemented in 'backend/models.py' is as follows: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none"/>
              <w:bottom w:val="none"/>
              <w:left w:val="single" w:sz="24" w:space="0" w:color="4A777A"/>
              <w:right w:val="none"/>
            </w:tcBorders>
          </w:tcPr>
          <w:p>
            <w:pPr>
              <w:spacing w:after="0" w:line="240" w:lineRule="auto"/>
            </w:pPr>
            <w:r>
              <w:rPr>
                <w:rFonts w:ascii="Consolas" w:hAnsi="Consolas"/>
                <w:color w:val="24292E"/>
                <w:sz w:val="18"/>
              </w:rPr>
              <w:t>class Expense(Base):</w:t>
              <w:br/>
              <w:t xml:space="preserve">    __tablename__ = "expenses"</w:t>
              <w:br/>
              <w:br/>
              <w:t xml:space="preserve">    id = Column(Integer, primary_key=True, index=True)</w:t>
              <w:br/>
              <w:t xml:space="preserve">    title = Column(String, nullable=False, index=True)</w:t>
              <w:br/>
              <w:t xml:space="preserve">    amount = Column(Float, nullable=False)</w:t>
              <w:br/>
              <w:t xml:space="preserve">    category = Column(String, nullable=False, index=True)</w:t>
              <w:br/>
              <w:t xml:space="preserve">    date = Column(Date, nullable=False)</w:t>
              <w:br/>
              <w:t xml:space="preserve">    notes = Column(String, nullable=True)</w:t>
            </w:r>
          </w:p>
        </w:tc>
      </w:tr>
    </w:tbl>
    <w:p>
      <w:r>
        <w:br w:type="page"/>
      </w:r>
    </w:p>
    <w:p>
      <w:pPr>
        <w:keepNext/>
        <w:spacing w:before="360" w:after="120"/>
      </w:pPr>
      <w:r>
        <w:rPr>
          <w:rFonts w:ascii="Calibri" w:hAnsi="Calibri"/>
          <w:b/>
          <w:color w:val="1B365D"/>
          <w:sz w:val="32"/>
        </w:rPr>
        <w:t>5. RESTful API Specification</w:t>
      </w:r>
    </w:p>
    <w:p>
      <w:r>
        <w:rPr>
          <w:rFonts w:ascii="Calibri" w:hAnsi="Calibri"/>
          <w:i w:val="0"/>
          <w:color w:val="333333"/>
        </w:rPr>
        <w:t>The backend serves as a stateless RESTful service using FastAPI. Pydantic schemas enforce type safety and data integrity, ensuring client requests are checked prior to database operations.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c>
          <w:tcPr>
            <w:tcW w:type="dxa" w:w="1872"/>
            <w:shd w:fill="1B365D"/>
            <w:tcMar>
              <w:top w:w="120" w:type="dxa"/>
              <w:bottom w:w="120" w:type="dxa"/>
              <w:left w:w="150" w:type="dxa"/>
              <w:right w:w="150" w:type="dxa"/>
            </w:tcMar>
          </w:tcPr>
          <w:p>
            <w:r>
              <w:rPr>
                <w:b/>
                <w:color w:val="FFFFFF"/>
                <w:sz w:val="20"/>
              </w:rPr>
              <w:t>Method</w:t>
            </w:r>
          </w:p>
        </w:tc>
        <w:tc>
          <w:tcPr>
            <w:tcW w:type="dxa" w:w="1872"/>
            <w:shd w:fill="1B365D"/>
            <w:tcMar>
              <w:top w:w="120" w:type="dxa"/>
              <w:bottom w:w="120" w:type="dxa"/>
              <w:left w:w="150" w:type="dxa"/>
              <w:right w:w="150" w:type="dxa"/>
            </w:tcMar>
          </w:tcPr>
          <w:p>
            <w:r>
              <w:rPr>
                <w:b/>
                <w:color w:val="FFFFFF"/>
                <w:sz w:val="20"/>
              </w:rPr>
              <w:t>Endpoint</w:t>
            </w:r>
          </w:p>
        </w:tc>
        <w:tc>
          <w:tcPr>
            <w:tcW w:type="dxa" w:w="1872"/>
            <w:shd w:fill="1B365D"/>
            <w:tcMar>
              <w:top w:w="120" w:type="dxa"/>
              <w:bottom w:w="120" w:type="dxa"/>
              <w:left w:w="150" w:type="dxa"/>
              <w:right w:w="150" w:type="dxa"/>
            </w:tcMar>
          </w:tcPr>
          <w:p>
            <w:r>
              <w:rPr>
                <w:b/>
                <w:color w:val="FFFFFF"/>
                <w:sz w:val="20"/>
              </w:rPr>
              <w:t>Request Body</w:t>
            </w:r>
          </w:p>
        </w:tc>
        <w:tc>
          <w:tcPr>
            <w:tcW w:type="dxa" w:w="1872"/>
            <w:shd w:fill="1B365D"/>
            <w:tcMar>
              <w:top w:w="120" w:type="dxa"/>
              <w:bottom w:w="120" w:type="dxa"/>
              <w:left w:w="150" w:type="dxa"/>
              <w:right w:w="150" w:type="dxa"/>
            </w:tcMar>
          </w:tcPr>
          <w:p>
            <w:r>
              <w:rPr>
                <w:b/>
                <w:color w:val="FFFFFF"/>
                <w:sz w:val="20"/>
              </w:rPr>
              <w:t>Response Schema</w:t>
            </w:r>
          </w:p>
        </w:tc>
        <w:tc>
          <w:tcPr>
            <w:tcW w:type="dxa" w:w="1872"/>
            <w:shd w:fill="1B365D"/>
            <w:tcMar>
              <w:top w:w="120" w:type="dxa"/>
              <w:bottom w:w="120" w:type="dxa"/>
              <w:left w:w="150" w:type="dxa"/>
              <w:right w:w="150" w:type="dxa"/>
            </w:tcMar>
          </w:tcPr>
          <w:p>
            <w:r>
              <w:rPr>
                <w:b/>
                <w:color w:val="FFFFFF"/>
                <w:sz w:val="20"/>
              </w:rPr>
              <w:t>Description</w:t>
            </w:r>
          </w:p>
        </w:tc>
      </w:tr>
      <w:tr>
        <w:tc>
          <w:tcPr>
            <w:tcW w:type="dxa" w:w="1872"/>
            <w:shd w:fill="F2F4F7"/>
            <w:tcMar>
              <w:top w:w="100" w:type="dxa"/>
              <w:bottom w:w="100" w:type="dxa"/>
              <w:left w:w="150" w:type="dxa"/>
              <w:right w:w="150" w:type="dxa"/>
            </w:tcMar>
          </w:tcPr>
          <w:p>
            <w:r>
              <w:rPr>
                <w:b w:val="0"/>
                <w:color w:val="333333"/>
                <w:sz w:val="19"/>
              </w:rPr>
              <w:t>GET</w:t>
            </w:r>
          </w:p>
        </w:tc>
        <w:tc>
          <w:tcPr>
            <w:tcW w:type="dxa" w:w="1872"/>
            <w:shd w:fill="F2F4F7"/>
            <w:tcMar>
              <w:top w:w="100" w:type="dxa"/>
              <w:bottom w:w="100" w:type="dxa"/>
              <w:left w:w="150" w:type="dxa"/>
              <w:right w:w="150" w:type="dxa"/>
            </w:tcMar>
          </w:tcPr>
          <w:p>
            <w:r>
              <w:rPr>
                <w:b w:val="0"/>
                <w:color w:val="333333"/>
                <w:sz w:val="19"/>
              </w:rPr>
              <w:t>/health</w:t>
            </w:r>
          </w:p>
        </w:tc>
        <w:tc>
          <w:tcPr>
            <w:tcW w:type="dxa" w:w="1872"/>
            <w:shd w:fill="F2F4F7"/>
            <w:tcMar>
              <w:top w:w="100" w:type="dxa"/>
              <w:bottom w:w="100" w:type="dxa"/>
              <w:left w:w="150" w:type="dxa"/>
              <w:right w:w="150" w:type="dxa"/>
            </w:tcMar>
          </w:tcPr>
          <w:p>
            <w:r>
              <w:rPr>
                <w:b w:val="0"/>
                <w:color w:val="333333"/>
                <w:sz w:val="19"/>
              </w:rPr>
              <w:t>None</w:t>
            </w:r>
          </w:p>
        </w:tc>
        <w:tc>
          <w:tcPr>
            <w:tcW w:type="dxa" w:w="1872"/>
            <w:shd w:fill="F2F4F7"/>
            <w:tcMar>
              <w:top w:w="100" w:type="dxa"/>
              <w:bottom w:w="100" w:type="dxa"/>
              <w:left w:w="150" w:type="dxa"/>
              <w:right w:w="150" w:type="dxa"/>
            </w:tcMar>
          </w:tcPr>
          <w:p>
            <w:r>
              <w:rPr>
                <w:b w:val="0"/>
                <w:color w:val="333333"/>
                <w:sz w:val="19"/>
              </w:rPr>
              <w:t>{"status": "healthy"}</w:t>
            </w:r>
          </w:p>
        </w:tc>
        <w:tc>
          <w:tcPr>
            <w:tcW w:type="dxa" w:w="1872"/>
            <w:shd w:fill="F2F4F7"/>
            <w:tcMar>
              <w:top w:w="100" w:type="dxa"/>
              <w:bottom w:w="100" w:type="dxa"/>
              <w:left w:w="150" w:type="dxa"/>
              <w:right w:w="150" w:type="dxa"/>
            </w:tcMar>
          </w:tcPr>
          <w:p>
            <w:r>
              <w:rPr>
                <w:b w:val="0"/>
                <w:color w:val="333333"/>
                <w:sz w:val="19"/>
              </w:rPr>
              <w:t>Health check endpoint for monitor scripts.</w:t>
            </w:r>
          </w:p>
        </w:tc>
      </w:tr>
      <w:tr>
        <w:tc>
          <w:tcPr>
            <w:tcW w:type="dxa" w:w="1872"/>
            <w:shd w:fill="FFFFFF"/>
            <w:tcMar>
              <w:top w:w="100" w:type="dxa"/>
              <w:bottom w:w="100" w:type="dxa"/>
              <w:left w:w="150" w:type="dxa"/>
              <w:right w:w="150" w:type="dxa"/>
            </w:tcMar>
          </w:tcPr>
          <w:p>
            <w:r>
              <w:rPr>
                <w:b w:val="0"/>
                <w:color w:val="333333"/>
                <w:sz w:val="19"/>
              </w:rPr>
              <w:t>POST</w:t>
            </w:r>
          </w:p>
        </w:tc>
        <w:tc>
          <w:tcPr>
            <w:tcW w:type="dxa" w:w="1872"/>
            <w:shd w:fill="FFFFFF"/>
            <w:tcMar>
              <w:top w:w="100" w:type="dxa"/>
              <w:bottom w:w="100" w:type="dxa"/>
              <w:left w:w="150" w:type="dxa"/>
              <w:right w:w="150" w:type="dxa"/>
            </w:tcMar>
          </w:tcPr>
          <w:p>
            <w:r>
              <w:rPr>
                <w:b w:val="0"/>
                <w:color w:val="333333"/>
                <w:sz w:val="19"/>
              </w:rPr>
              <w:t>/expenses</w:t>
            </w:r>
          </w:p>
        </w:tc>
        <w:tc>
          <w:tcPr>
            <w:tcW w:type="dxa" w:w="1872"/>
            <w:shd w:fill="FFFFFF"/>
            <w:tcMar>
              <w:top w:w="100" w:type="dxa"/>
              <w:bottom w:w="100" w:type="dxa"/>
              <w:left w:w="150" w:type="dxa"/>
              <w:right w:w="150" w:type="dxa"/>
            </w:tcMar>
          </w:tcPr>
          <w:p>
            <w:r>
              <w:rPr>
                <w:b w:val="0"/>
                <w:color w:val="333333"/>
                <w:sz w:val="19"/>
              </w:rPr>
              <w:t>ExpenseCreate</w:t>
            </w:r>
          </w:p>
        </w:tc>
        <w:tc>
          <w:tcPr>
            <w:tcW w:type="dxa" w:w="1872"/>
            <w:shd w:fill="FFFFFF"/>
            <w:tcMar>
              <w:top w:w="100" w:type="dxa"/>
              <w:bottom w:w="100" w:type="dxa"/>
              <w:left w:w="150" w:type="dxa"/>
              <w:right w:w="150" w:type="dxa"/>
            </w:tcMar>
          </w:tcPr>
          <w:p>
            <w:r>
              <w:rPr>
                <w:b w:val="0"/>
                <w:color w:val="333333"/>
                <w:sz w:val="19"/>
              </w:rPr>
              <w:t>ExpenseResponse</w:t>
            </w:r>
          </w:p>
        </w:tc>
        <w:tc>
          <w:tcPr>
            <w:tcW w:type="dxa" w:w="1872"/>
            <w:shd w:fill="FFFFFF"/>
            <w:tcMar>
              <w:top w:w="100" w:type="dxa"/>
              <w:bottom w:w="100" w:type="dxa"/>
              <w:left w:w="150" w:type="dxa"/>
              <w:right w:w="150" w:type="dxa"/>
            </w:tcMar>
          </w:tcPr>
          <w:p>
            <w:r>
              <w:rPr>
                <w:b w:val="0"/>
                <w:color w:val="333333"/>
                <w:sz w:val="19"/>
              </w:rPr>
              <w:t>Inserts a new expense transaction. Enforces amount &gt; 0.</w:t>
            </w:r>
          </w:p>
        </w:tc>
      </w:tr>
      <w:tr>
        <w:tc>
          <w:tcPr>
            <w:tcW w:type="dxa" w:w="1872"/>
            <w:shd w:fill="F2F4F7"/>
            <w:tcMar>
              <w:top w:w="100" w:type="dxa"/>
              <w:bottom w:w="100" w:type="dxa"/>
              <w:left w:w="150" w:type="dxa"/>
              <w:right w:w="150" w:type="dxa"/>
            </w:tcMar>
          </w:tcPr>
          <w:p>
            <w:r>
              <w:rPr>
                <w:b w:val="0"/>
                <w:color w:val="333333"/>
                <w:sz w:val="19"/>
              </w:rPr>
              <w:t>GET</w:t>
            </w:r>
          </w:p>
        </w:tc>
        <w:tc>
          <w:tcPr>
            <w:tcW w:type="dxa" w:w="1872"/>
            <w:shd w:fill="F2F4F7"/>
            <w:tcMar>
              <w:top w:w="100" w:type="dxa"/>
              <w:bottom w:w="100" w:type="dxa"/>
              <w:left w:w="150" w:type="dxa"/>
              <w:right w:w="150" w:type="dxa"/>
            </w:tcMar>
          </w:tcPr>
          <w:p>
            <w:r>
              <w:rPr>
                <w:b w:val="0"/>
                <w:color w:val="333333"/>
                <w:sz w:val="19"/>
              </w:rPr>
              <w:t>/expenses</w:t>
            </w:r>
          </w:p>
        </w:tc>
        <w:tc>
          <w:tcPr>
            <w:tcW w:type="dxa" w:w="1872"/>
            <w:shd w:fill="F2F4F7"/>
            <w:tcMar>
              <w:top w:w="100" w:type="dxa"/>
              <w:bottom w:w="100" w:type="dxa"/>
              <w:left w:w="150" w:type="dxa"/>
              <w:right w:w="150" w:type="dxa"/>
            </w:tcMar>
          </w:tcPr>
          <w:p>
            <w:r>
              <w:rPr>
                <w:b w:val="0"/>
                <w:color w:val="333333"/>
                <w:sz w:val="19"/>
              </w:rPr>
              <w:t>None</w:t>
            </w:r>
          </w:p>
        </w:tc>
        <w:tc>
          <w:tcPr>
            <w:tcW w:type="dxa" w:w="1872"/>
            <w:shd w:fill="F2F4F7"/>
            <w:tcMar>
              <w:top w:w="100" w:type="dxa"/>
              <w:bottom w:w="100" w:type="dxa"/>
              <w:left w:w="150" w:type="dxa"/>
              <w:right w:w="150" w:type="dxa"/>
            </w:tcMar>
          </w:tcPr>
          <w:p>
            <w:r>
              <w:rPr>
                <w:b w:val="0"/>
                <w:color w:val="333333"/>
                <w:sz w:val="19"/>
              </w:rPr>
              <w:t>List[ExpenseResponse]</w:t>
            </w:r>
          </w:p>
        </w:tc>
        <w:tc>
          <w:tcPr>
            <w:tcW w:type="dxa" w:w="1872"/>
            <w:shd w:fill="F2F4F7"/>
            <w:tcMar>
              <w:top w:w="100" w:type="dxa"/>
              <w:bottom w:w="100" w:type="dxa"/>
              <w:left w:w="150" w:type="dxa"/>
              <w:right w:w="150" w:type="dxa"/>
            </w:tcMar>
          </w:tcPr>
          <w:p>
            <w:r>
              <w:rPr>
                <w:b w:val="0"/>
                <w:color w:val="333333"/>
                <w:sz w:val="19"/>
              </w:rPr>
              <w:t>Retrieves list of all expenses ordered by date descending (newest first).</w:t>
            </w:r>
          </w:p>
        </w:tc>
      </w:tr>
      <w:tr>
        <w:tc>
          <w:tcPr>
            <w:tcW w:type="dxa" w:w="1872"/>
            <w:shd w:fill="FFFFFF"/>
            <w:tcMar>
              <w:top w:w="100" w:type="dxa"/>
              <w:bottom w:w="100" w:type="dxa"/>
              <w:left w:w="150" w:type="dxa"/>
              <w:right w:w="150" w:type="dxa"/>
            </w:tcMar>
          </w:tcPr>
          <w:p>
            <w:r>
              <w:rPr>
                <w:b w:val="0"/>
                <w:color w:val="333333"/>
                <w:sz w:val="19"/>
              </w:rPr>
              <w:t>PUT</w:t>
            </w:r>
          </w:p>
        </w:tc>
        <w:tc>
          <w:tcPr>
            <w:tcW w:type="dxa" w:w="1872"/>
            <w:shd w:fill="FFFFFF"/>
            <w:tcMar>
              <w:top w:w="100" w:type="dxa"/>
              <w:bottom w:w="100" w:type="dxa"/>
              <w:left w:w="150" w:type="dxa"/>
              <w:right w:w="150" w:type="dxa"/>
            </w:tcMar>
          </w:tcPr>
          <w:p>
            <w:r>
              <w:rPr>
                <w:b w:val="0"/>
                <w:color w:val="333333"/>
                <w:sz w:val="19"/>
              </w:rPr>
              <w:t>/expenses/{id}</w:t>
            </w:r>
          </w:p>
        </w:tc>
        <w:tc>
          <w:tcPr>
            <w:tcW w:type="dxa" w:w="1872"/>
            <w:shd w:fill="FFFFFF"/>
            <w:tcMar>
              <w:top w:w="100" w:type="dxa"/>
              <w:bottom w:w="100" w:type="dxa"/>
              <w:left w:w="150" w:type="dxa"/>
              <w:right w:w="150" w:type="dxa"/>
            </w:tcMar>
          </w:tcPr>
          <w:p>
            <w:r>
              <w:rPr>
                <w:b w:val="0"/>
                <w:color w:val="333333"/>
                <w:sz w:val="19"/>
              </w:rPr>
              <w:t>ExpenseUpdate</w:t>
            </w:r>
          </w:p>
        </w:tc>
        <w:tc>
          <w:tcPr>
            <w:tcW w:type="dxa" w:w="1872"/>
            <w:shd w:fill="FFFFFF"/>
            <w:tcMar>
              <w:top w:w="100" w:type="dxa"/>
              <w:bottom w:w="100" w:type="dxa"/>
              <w:left w:w="150" w:type="dxa"/>
              <w:right w:w="150" w:type="dxa"/>
            </w:tcMar>
          </w:tcPr>
          <w:p>
            <w:r>
              <w:rPr>
                <w:b w:val="0"/>
                <w:color w:val="333333"/>
                <w:sz w:val="19"/>
              </w:rPr>
              <w:t>ExpenseResponse</w:t>
            </w:r>
          </w:p>
        </w:tc>
        <w:tc>
          <w:tcPr>
            <w:tcW w:type="dxa" w:w="1872"/>
            <w:shd w:fill="FFFFFF"/>
            <w:tcMar>
              <w:top w:w="100" w:type="dxa"/>
              <w:bottom w:w="100" w:type="dxa"/>
              <w:left w:w="150" w:type="dxa"/>
              <w:right w:w="150" w:type="dxa"/>
            </w:tcMar>
          </w:tcPr>
          <w:p>
            <w:r>
              <w:rPr>
                <w:b w:val="0"/>
                <w:color w:val="333333"/>
                <w:sz w:val="19"/>
              </w:rPr>
              <w:t>Modifies fields of an existing expense record by its ID.</w:t>
            </w:r>
          </w:p>
        </w:tc>
      </w:tr>
      <w:tr>
        <w:tc>
          <w:tcPr>
            <w:tcW w:type="dxa" w:w="1872"/>
            <w:shd w:fill="F2F4F7"/>
            <w:tcMar>
              <w:top w:w="100" w:type="dxa"/>
              <w:bottom w:w="100" w:type="dxa"/>
              <w:left w:w="150" w:type="dxa"/>
              <w:right w:w="150" w:type="dxa"/>
            </w:tcMar>
          </w:tcPr>
          <w:p>
            <w:r>
              <w:rPr>
                <w:b w:val="0"/>
                <w:color w:val="333333"/>
                <w:sz w:val="19"/>
              </w:rPr>
              <w:t>DELETE</w:t>
            </w:r>
          </w:p>
        </w:tc>
        <w:tc>
          <w:tcPr>
            <w:tcW w:type="dxa" w:w="1872"/>
            <w:shd w:fill="F2F4F7"/>
            <w:tcMar>
              <w:top w:w="100" w:type="dxa"/>
              <w:bottom w:w="100" w:type="dxa"/>
              <w:left w:w="150" w:type="dxa"/>
              <w:right w:w="150" w:type="dxa"/>
            </w:tcMar>
          </w:tcPr>
          <w:p>
            <w:r>
              <w:rPr>
                <w:b w:val="0"/>
                <w:color w:val="333333"/>
                <w:sz w:val="19"/>
              </w:rPr>
              <w:t>/expenses/{id}</w:t>
            </w:r>
          </w:p>
        </w:tc>
        <w:tc>
          <w:tcPr>
            <w:tcW w:type="dxa" w:w="1872"/>
            <w:shd w:fill="F2F4F7"/>
            <w:tcMar>
              <w:top w:w="100" w:type="dxa"/>
              <w:bottom w:w="100" w:type="dxa"/>
              <w:left w:w="150" w:type="dxa"/>
              <w:right w:w="150" w:type="dxa"/>
            </w:tcMar>
          </w:tcPr>
          <w:p>
            <w:r>
              <w:rPr>
                <w:b w:val="0"/>
                <w:color w:val="333333"/>
                <w:sz w:val="19"/>
              </w:rPr>
              <w:t>None</w:t>
            </w:r>
          </w:p>
        </w:tc>
        <w:tc>
          <w:tcPr>
            <w:tcW w:type="dxa" w:w="1872"/>
            <w:shd w:fill="F2F4F7"/>
            <w:tcMar>
              <w:top w:w="100" w:type="dxa"/>
              <w:bottom w:w="100" w:type="dxa"/>
              <w:left w:w="150" w:type="dxa"/>
              <w:right w:w="150" w:type="dxa"/>
            </w:tcMar>
          </w:tcPr>
          <w:p>
            <w:r>
              <w:rPr>
                <w:b w:val="0"/>
                <w:color w:val="333333"/>
                <w:sz w:val="19"/>
              </w:rPr>
              <w:t>ExpenseResponse</w:t>
            </w:r>
          </w:p>
        </w:tc>
        <w:tc>
          <w:tcPr>
            <w:tcW w:type="dxa" w:w="1872"/>
            <w:shd w:fill="F2F4F7"/>
            <w:tcMar>
              <w:top w:w="100" w:type="dxa"/>
              <w:bottom w:w="100" w:type="dxa"/>
              <w:left w:w="150" w:type="dxa"/>
              <w:right w:w="150" w:type="dxa"/>
            </w:tcMar>
          </w:tcPr>
          <w:p>
            <w:r>
              <w:rPr>
                <w:b w:val="0"/>
                <w:color w:val="333333"/>
                <w:sz w:val="19"/>
              </w:rPr>
              <w:t>Removes a specific transaction from SQLite and returns its details.</w:t>
            </w:r>
          </w:p>
        </w:tc>
      </w:tr>
      <w:tr>
        <w:tc>
          <w:tcPr>
            <w:tcW w:type="dxa" w:w="1872"/>
            <w:shd w:fill="FFFFFF"/>
            <w:tcMar>
              <w:top w:w="100" w:type="dxa"/>
              <w:bottom w:w="100" w:type="dxa"/>
              <w:left w:w="150" w:type="dxa"/>
              <w:right w:w="150" w:type="dxa"/>
            </w:tcMar>
          </w:tcPr>
          <w:p>
            <w:r>
              <w:rPr>
                <w:b w:val="0"/>
                <w:color w:val="333333"/>
                <w:sz w:val="19"/>
              </w:rPr>
              <w:t>GET</w:t>
            </w:r>
          </w:p>
        </w:tc>
        <w:tc>
          <w:tcPr>
            <w:tcW w:type="dxa" w:w="1872"/>
            <w:shd w:fill="FFFFFF"/>
            <w:tcMar>
              <w:top w:w="100" w:type="dxa"/>
              <w:bottom w:w="100" w:type="dxa"/>
              <w:left w:w="150" w:type="dxa"/>
              <w:right w:w="150" w:type="dxa"/>
            </w:tcMar>
          </w:tcPr>
          <w:p>
            <w:r>
              <w:rPr>
                <w:b w:val="0"/>
                <w:color w:val="333333"/>
                <w:sz w:val="19"/>
              </w:rPr>
              <w:t>/summary</w:t>
            </w:r>
          </w:p>
        </w:tc>
        <w:tc>
          <w:tcPr>
            <w:tcW w:type="dxa" w:w="1872"/>
            <w:shd w:fill="FFFFFF"/>
            <w:tcMar>
              <w:top w:w="100" w:type="dxa"/>
              <w:bottom w:w="100" w:type="dxa"/>
              <w:left w:w="150" w:type="dxa"/>
              <w:right w:w="150" w:type="dxa"/>
            </w:tcMar>
          </w:tcPr>
          <w:p>
            <w:r>
              <w:rPr>
                <w:b w:val="0"/>
                <w:color w:val="333333"/>
                <w:sz w:val="19"/>
              </w:rPr>
              <w:t>None</w:t>
            </w:r>
          </w:p>
        </w:tc>
        <w:tc>
          <w:tcPr>
            <w:tcW w:type="dxa" w:w="1872"/>
            <w:shd w:fill="FFFFFF"/>
            <w:tcMar>
              <w:top w:w="100" w:type="dxa"/>
              <w:bottom w:w="100" w:type="dxa"/>
              <w:left w:w="150" w:type="dxa"/>
              <w:right w:w="150" w:type="dxa"/>
            </w:tcMar>
          </w:tcPr>
          <w:p>
            <w:r>
              <w:rPr>
                <w:b w:val="0"/>
                <w:color w:val="333333"/>
                <w:sz w:val="19"/>
              </w:rPr>
              <w:t>ExpenseSummaryResponse</w:t>
            </w:r>
          </w:p>
        </w:tc>
        <w:tc>
          <w:tcPr>
            <w:tcW w:type="dxa" w:w="1872"/>
            <w:shd w:fill="FFFFFF"/>
            <w:tcMar>
              <w:top w:w="100" w:type="dxa"/>
              <w:bottom w:w="100" w:type="dxa"/>
              <w:left w:w="150" w:type="dxa"/>
              <w:right w:w="150" w:type="dxa"/>
            </w:tcMar>
          </w:tcPr>
          <w:p>
            <w:r>
              <w:rPr>
                <w:b w:val="0"/>
                <w:color w:val="333333"/>
                <w:sz w:val="19"/>
              </w:rPr>
              <w:t>Computes total sum, transaction counts, and grouped category spending.</w:t>
            </w:r>
          </w:p>
        </w:tc>
      </w:tr>
    </w:tbl>
    <w:p>
      <w:r>
        <w:br w:type="page"/>
      </w:r>
    </w:p>
    <w:p>
      <w:pPr>
        <w:keepNext/>
        <w:spacing w:before="360" w:after="120"/>
      </w:pPr>
      <w:r>
        <w:rPr>
          <w:rFonts w:ascii="Calibri" w:hAnsi="Calibri"/>
          <w:b/>
          <w:color w:val="1B365D"/>
          <w:sz w:val="32"/>
        </w:rPr>
        <w:t>6. User Interface Design and Frontend Implementation</w:t>
      </w:r>
    </w:p>
    <w:p>
      <w:r>
        <w:rPr>
          <w:rFonts w:ascii="Calibri" w:hAnsi="Calibri"/>
          <w:i w:val="0"/>
          <w:color w:val="333333"/>
        </w:rPr>
        <w:t>The frontend is built using standard web technologies (HTML5, Vanilla CSS3, Vanilla JS) as a Single Page Application. The visual design is structured on a modern gray/white/blue theme featuring layout cards with responsive grid frameworks.</w:t>
      </w:r>
    </w:p>
    <w:p>
      <w:pPr>
        <w:keepNext/>
        <w:spacing w:before="240" w:after="80"/>
      </w:pPr>
      <w:r>
        <w:rPr>
          <w:rFonts w:ascii="Calibri" w:hAnsi="Calibri"/>
          <w:b/>
          <w:color w:val="4A777A"/>
          <w:sz w:val="26"/>
        </w:rPr>
        <w:t>Key UI/UX Design Features</w:t>
      </w:r>
    </w:p>
    <w:p>
      <w:pPr>
        <w:pStyle w:val="ListBullet"/>
        <w:spacing w:after="60"/>
      </w:pPr>
      <w:r>
        <w:rPr>
          <w:rFonts w:ascii="Calibri" w:hAnsi="Calibri"/>
          <w:b/>
        </w:rPr>
        <w:t xml:space="preserve">Visual Style: </w:t>
      </w:r>
      <w:r>
        <w:rPr>
          <w:rFonts w:ascii="Calibri" w:hAnsi="Calibri"/>
        </w:rPr>
        <w:t>Modern Outlined Aesthetic: Clean card containers, fine light borders, and explicit grid groupings instead of chaotic shadow effects.</w:t>
      </w:r>
    </w:p>
    <w:p>
      <w:pPr>
        <w:pStyle w:val="ListBullet"/>
        <w:spacing w:after="60"/>
      </w:pPr>
      <w:r>
        <w:rPr>
          <w:rFonts w:ascii="Calibri" w:hAnsi="Calibri"/>
          <w:b/>
        </w:rPr>
        <w:t xml:space="preserve">Fonts &amp; Styling: </w:t>
      </w:r>
      <w:r>
        <w:rPr>
          <w:rFonts w:ascii="Calibri" w:hAnsi="Calibri"/>
        </w:rPr>
        <w:t>Typography: The UI loads the Outfit sans-serif typeface from Google Fonts to construct a professional, scalable textual weight.</w:t>
      </w:r>
    </w:p>
    <w:p>
      <w:pPr>
        <w:pStyle w:val="ListBullet"/>
        <w:spacing w:after="60"/>
      </w:pPr>
      <w:r>
        <w:rPr>
          <w:rFonts w:ascii="Calibri" w:hAnsi="Calibri"/>
          <w:b/>
        </w:rPr>
        <w:t xml:space="preserve">Asynchronous Updates: </w:t>
      </w:r>
      <w:r>
        <w:rPr>
          <w:rFonts w:ascii="Calibri" w:hAnsi="Calibri"/>
        </w:rPr>
        <w:t>Dynamic DOM Reloading: The Vanilla JS Fetch API reads from the backend /expenses and /summary, updating the table and widgets without full page reloads.</w:t>
      </w:r>
    </w:p>
    <w:p>
      <w:pPr>
        <w:pStyle w:val="ListBullet"/>
        <w:spacing w:after="60"/>
      </w:pPr>
      <w:r>
        <w:rPr>
          <w:rFonts w:ascii="Calibri" w:hAnsi="Calibri"/>
          <w:b/>
        </w:rPr>
        <w:t xml:space="preserve">Categorized Visuals: </w:t>
      </w:r>
      <w:r>
        <w:rPr>
          <w:rFonts w:ascii="Calibri" w:hAnsi="Calibri"/>
        </w:rPr>
        <w:t>Category Badges: Distinct colorful badges highlight the transaction category in the table (e.g. green for Food, blue for Bills, violet for Shopping).</w:t>
      </w:r>
    </w:p>
    <w:p>
      <w:pPr>
        <w:pStyle w:val="ListBullet"/>
        <w:spacing w:after="60"/>
      </w:pPr>
      <w:r>
        <w:rPr>
          <w:rFonts w:ascii="Calibri" w:hAnsi="Calibri"/>
          <w:b/>
        </w:rPr>
        <w:t xml:space="preserve">Intuitive Workflow: </w:t>
      </w:r>
      <w:r>
        <w:rPr>
          <w:rFonts w:ascii="Calibri" w:hAnsi="Calibri"/>
        </w:rPr>
        <w:t>Inline Edit Mode: Clicking 'Edit' pulls the transaction properties back into the main form, replaces the submit button style with an 'Update' button, and exposes a 'Cancel Edit' button.</w:t>
      </w:r>
    </w:p>
    <w:p>
      <w:pPr>
        <w:keepNext/>
        <w:spacing w:before="240" w:after="80"/>
      </w:pPr>
      <w:r>
        <w:rPr>
          <w:rFonts w:ascii="Calibri" w:hAnsi="Calibri"/>
          <w:b/>
          <w:color w:val="4A777A"/>
          <w:sz w:val="26"/>
        </w:rPr>
        <w:t>Vanilla Javascript CRUD Lifecycle</w:t>
      </w:r>
    </w:p>
    <w:p>
      <w:r>
        <w:rPr>
          <w:rFonts w:ascii="Calibri" w:hAnsi="Calibri"/>
          <w:i w:val="0"/>
          <w:color w:val="333333"/>
        </w:rPr>
        <w:t>The frontend JavaScript manages an internal state variable `allExpenses`. When the user performs CRUD operations, the application behaves as follows:</w:t>
      </w:r>
    </w:p>
    <w:p>
      <w:pPr>
        <w:pStyle w:val="ListBullet"/>
        <w:spacing w:after="60"/>
      </w:pPr>
      <w:r>
        <w:rPr>
          <w:rFonts w:ascii="Calibri" w:hAnsi="Calibri"/>
          <w:b/>
        </w:rPr>
        <w:t xml:space="preserve">On DOM Content Loaded: </w:t>
      </w:r>
      <w:r>
        <w:rPr>
          <w:rFonts w:ascii="Calibri" w:hAnsi="Calibri"/>
        </w:rPr>
        <w:t>Loads the summary API statistics and retrieves the full expense log list to draw the table.</w:t>
      </w:r>
    </w:p>
    <w:p>
      <w:pPr>
        <w:pStyle w:val="ListBullet"/>
        <w:spacing w:after="60"/>
      </w:pPr>
      <w:r>
        <w:rPr>
          <w:rFonts w:ascii="Calibri" w:hAnsi="Calibri"/>
          <w:b/>
        </w:rPr>
        <w:t xml:space="preserve">On Form Submit: </w:t>
      </w:r>
      <w:r>
        <w:rPr>
          <w:rFonts w:ascii="Calibri" w:hAnsi="Calibri"/>
        </w:rPr>
        <w:t>Submits a POST request. If a hidden ID input is set, it fires a PUT request to update the record instead, resetting the form and updating the dashboard upon success.</w:t>
      </w:r>
    </w:p>
    <w:p>
      <w:pPr>
        <w:pStyle w:val="ListBullet"/>
        <w:spacing w:after="60"/>
      </w:pPr>
      <w:r>
        <w:rPr>
          <w:rFonts w:ascii="Calibri" w:hAnsi="Calibri"/>
          <w:b/>
        </w:rPr>
        <w:t xml:space="preserve">On Delete Click: </w:t>
      </w:r>
      <w:r>
        <w:rPr>
          <w:rFonts w:ascii="Calibri" w:hAnsi="Calibri"/>
        </w:rPr>
        <w:t>Issues a DELETE request to '/expenses/{id}'. The client prompts for confirmation, then refreshes the summary stats and table.</w:t>
      </w:r>
    </w:p>
    <w:p>
      <w:r>
        <w:br w:type="page"/>
      </w:r>
    </w:p>
    <w:p>
      <w:pPr>
        <w:keepNext/>
        <w:spacing w:before="360" w:after="120"/>
      </w:pPr>
      <w:r>
        <w:rPr>
          <w:rFonts w:ascii="Calibri" w:hAnsi="Calibri"/>
          <w:b/>
          <w:color w:val="1B365D"/>
          <w:sz w:val="32"/>
        </w:rPr>
        <w:t>7. Containerization &amp; Deployment Configuration</w:t>
      </w:r>
    </w:p>
    <w:p>
      <w:r>
        <w:rPr>
          <w:rFonts w:ascii="Calibri" w:hAnsi="Calibri"/>
          <w:i w:val="0"/>
          <w:color w:val="333333"/>
        </w:rPr>
        <w:t>To achieve rapid, reproducible software delivery, the application is fully containerized. A custom Dockerfile compiles and exposes the application server on a configurable port.</w:t>
      </w:r>
    </w:p>
    <w:p>
      <w:pPr>
        <w:keepNext/>
        <w:spacing w:before="240" w:after="80"/>
      </w:pPr>
      <w:r>
        <w:rPr>
          <w:rFonts w:ascii="Calibri" w:hAnsi="Calibri"/>
          <w:b/>
          <w:color w:val="4A777A"/>
          <w:sz w:val="26"/>
        </w:rPr>
        <w:t>Dockerfile Structure</w:t>
      </w:r>
    </w:p>
    <w:p>
      <w:r>
        <w:rPr>
          <w:rFonts w:ascii="Calibri" w:hAnsi="Calibri"/>
          <w:i w:val="0"/>
          <w:color w:val="333333"/>
        </w:rPr>
        <w:t>The project packages Python inside a lightweight base image, configures local directories, and mounts SQLite volumes: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none"/>
              <w:bottom w:val="none"/>
              <w:left w:val="single" w:sz="24" w:space="0" w:color="4A777A"/>
              <w:right w:val="none"/>
            </w:tcBorders>
          </w:tcPr>
          <w:p>
            <w:pPr>
              <w:spacing w:after="0" w:line="240" w:lineRule="auto"/>
            </w:pPr>
            <w:r>
              <w:rPr>
                <w:rFonts w:ascii="Consolas" w:hAnsi="Consolas"/>
                <w:color w:val="24292E"/>
                <w:sz w:val="18"/>
              </w:rPr>
              <w:t>FROM python:3.10-slim</w:t>
              <w:br/>
              <w:t>WORKDIR /app</w:t>
              <w:br/>
              <w:t>ENV PYTHONDONTWRITEBYTECODE=1</w:t>
              <w:br/>
              <w:t>ENV PYTHONUNBUFFERED=1</w:t>
              <w:br/>
              <w:t>COPY requirements.txt .</w:t>
              <w:br/>
              <w:t>RUN pip install --no-cache-dir -r requirements.txt</w:t>
              <w:br/>
              <w:t>COPY backend/ ./backend/</w:t>
              <w:br/>
              <w:t>COPY frontend/ ./frontend/</w:t>
              <w:br/>
              <w:t>RUN mkdir -p /app/data</w:t>
              <w:br/>
              <w:t>ENV DATABASE_DIR=/app/data</w:t>
              <w:br/>
              <w:t>VOLUME /app/data</w:t>
              <w:br/>
              <w:t>EXPOSE 8000</w:t>
              <w:br/>
              <w:t>CMD ["sh", "-c", "uvicorn backend.main:app --host 0.0.0.0 --port ${PORT:-8000}"]</w:t>
            </w:r>
          </w:p>
        </w:tc>
      </w:tr>
    </w:tbl>
    <w:p>
      <w:pPr>
        <w:keepNext/>
        <w:spacing w:before="240" w:after="80"/>
      </w:pPr>
      <w:r>
        <w:rPr>
          <w:rFonts w:ascii="Calibri" w:hAnsi="Calibri"/>
          <w:b/>
          <w:color w:val="4A777A"/>
          <w:sz w:val="26"/>
        </w:rPr>
        <w:t>Deployment Blueprints (Render.com)</w:t>
      </w:r>
    </w:p>
    <w:p>
      <w:r>
        <w:rPr>
          <w:rFonts w:ascii="Calibri" w:hAnsi="Calibri"/>
          <w:i w:val="0"/>
          <w:color w:val="333333"/>
        </w:rPr>
        <w:t>A render.yaml configuration file sits at the root of the project to allow one-click cloud service deployment. Render reads the file to spin up a Python Web Service, install requirements, and mount an external persistent disk at /app/data to preserve the SQLite database across restarts.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none"/>
              <w:bottom w:val="none"/>
              <w:left w:val="single" w:sz="24" w:space="0" w:color="4A777A"/>
              <w:right w:val="none"/>
            </w:tcBorders>
          </w:tcPr>
          <w:p>
            <w:pPr>
              <w:spacing w:after="0" w:line="240" w:lineRule="auto"/>
            </w:pPr>
            <w:r>
              <w:rPr>
                <w:rFonts w:ascii="Consolas" w:hAnsi="Consolas"/>
                <w:color w:val="24292E"/>
                <w:sz w:val="18"/>
              </w:rPr>
              <w:t>services:</w:t>
              <w:br/>
              <w:t xml:space="preserve">  - type: web</w:t>
              <w:br/>
              <w:t xml:space="preserve">    name: wealthwise-expense-tracker</w:t>
              <w:br/>
              <w:t xml:space="preserve">    env: python</w:t>
              <w:br/>
              <w:t xml:space="preserve">    buildCommand: pip install -r requirements.txt</w:t>
              <w:br/>
              <w:t xml:space="preserve">    startCommand: uvicorn backend.main:app --host 0.0.0.0 --port $PORT</w:t>
              <w:br/>
              <w:t xml:space="preserve">    envVars:</w:t>
              <w:br/>
              <w:t xml:space="preserve">      - key: DATABASE_DIR</w:t>
              <w:br/>
              <w:t xml:space="preserve">        value: /app/data</w:t>
              <w:br/>
              <w:t xml:space="preserve">    disk:</w:t>
              <w:br/>
              <w:t xml:space="preserve">      name: expense-db-volume</w:t>
              <w:br/>
              <w:t xml:space="preserve">      mountPath: /app/data</w:t>
              <w:br/>
              <w:t xml:space="preserve">      sizeGB: 1</w:t>
            </w:r>
          </w:p>
        </w:tc>
      </w:tr>
    </w:tbl>
    <w:p>
      <w:r>
        <w:br w:type="page"/>
      </w:r>
    </w:p>
    <w:p>
      <w:pPr>
        <w:keepNext/>
        <w:spacing w:before="360" w:after="120"/>
      </w:pPr>
      <w:r>
        <w:rPr>
          <w:rFonts w:ascii="Calibri" w:hAnsi="Calibri"/>
          <w:b/>
          <w:color w:val="1B365D"/>
          <w:sz w:val="32"/>
        </w:rPr>
        <w:t>8. Continuous Integration &amp; Pipeline Automation</w:t>
      </w:r>
    </w:p>
    <w:p>
      <w:r>
        <w:rPr>
          <w:rFonts w:ascii="Calibri" w:hAnsi="Calibri"/>
          <w:i w:val="0"/>
          <w:color w:val="333333"/>
        </w:rPr>
        <w:t>To enforce software quality, a Continuous Integration (CI) pipeline is configured using GitHub Actions. The workflow automatically validates branch commits before they are merged into the principal branches.</w:t>
      </w:r>
    </w:p>
    <w:p>
      <w:pPr>
        <w:keepNext/>
        <w:spacing w:before="240" w:after="80"/>
      </w:pPr>
      <w:r>
        <w:rPr>
          <w:rFonts w:ascii="Calibri" w:hAnsi="Calibri"/>
          <w:b/>
          <w:color w:val="4A777A"/>
          <w:sz w:val="26"/>
        </w:rPr>
        <w:t>GitHub Actions CI Pipeline configuration (ci.yml)</w:t>
      </w:r>
    </w:p>
    <w:p>
      <w:r>
        <w:rPr>
          <w:rFonts w:ascii="Calibri" w:hAnsi="Calibri"/>
          <w:i w:val="0"/>
          <w:color w:val="333333"/>
        </w:rPr>
        <w:t>The workflow configuration file '.github/workflows/ci.yml' checks compilation integrity and docker builds:</w:t>
      </w:r>
    </w:p>
    <w:p>
      <w:pPr>
        <w:spacing w:before="120" w:after="120"/>
        <w:ind w:left="360" w:right="3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none"/>
              <w:bottom w:val="none"/>
              <w:left w:val="single" w:sz="24" w:space="0" w:color="4A777A"/>
              <w:right w:val="none"/>
            </w:tcBorders>
          </w:tcPr>
          <w:p>
            <w:pPr>
              <w:spacing w:after="0" w:line="240" w:lineRule="auto"/>
            </w:pPr>
            <w:r>
              <w:rPr>
                <w:rFonts w:ascii="Consolas" w:hAnsi="Consolas"/>
                <w:color w:val="24292E"/>
                <w:sz w:val="18"/>
              </w:rPr>
              <w:t>name: CI Pipeline</w:t>
              <w:br/>
              <w:br/>
              <w:t>on:</w:t>
              <w:br/>
              <w:t xml:space="preserve">  push:</w:t>
              <w:br/>
              <w:t xml:space="preserve">    branches: [ master, main ]</w:t>
              <w:br/>
              <w:t xml:space="preserve">  pull_request:</w:t>
              <w:br/>
              <w:t xml:space="preserve">    branches: [ master, main ]</w:t>
              <w:br/>
              <w:br/>
              <w:t>jobs:</w:t>
              <w:br/>
              <w:t xml:space="preserve">  validate:</w:t>
              <w:br/>
              <w:t xml:space="preserve">    runs-on: ubuntu-latest</w:t>
              <w:br/>
              <w:t xml:space="preserve">    steps:</w:t>
              <w:br/>
              <w:t xml:space="preserve">    - name: Checkout repository code</w:t>
              <w:br/>
              <w:t xml:space="preserve">      uses: actions/checkout@v3</w:t>
              <w:br/>
              <w:t xml:space="preserve">    - name: Set up Python 3.10</w:t>
              <w:br/>
              <w:t xml:space="preserve">      uses: actions/setup-python@v4</w:t>
              <w:br/>
              <w:t xml:space="preserve">      with:</w:t>
              <w:br/>
              <w:t xml:space="preserve">        python-version: '3.10'</w:t>
              <w:br/>
              <w:t xml:space="preserve">    - name: Install dependencies</w:t>
              <w:br/>
              <w:t xml:space="preserve">      run: |</w:t>
              <w:br/>
              <w:t xml:space="preserve">        python -m pip install --upgrade pip</w:t>
              <w:br/>
              <w:t xml:space="preserve">        pip install -r requirements.txt</w:t>
              <w:br/>
              <w:t xml:space="preserve">    - name: Check code compilation (syntax check)</w:t>
              <w:br/>
              <w:t xml:space="preserve">      run: |</w:t>
              <w:br/>
              <w:t xml:space="preserve">        python -m compileall backend</w:t>
              <w:br/>
              <w:t xml:space="preserve">    - name: Build Docker Image</w:t>
              <w:br/>
              <w:t xml:space="preserve">      run: |</w:t>
              <w:br/>
              <w:t xml:space="preserve">        docker build -t expense-tracker:latest .</w:t>
            </w:r>
          </w:p>
        </w:tc>
      </w:tr>
    </w:tbl>
    <w:p>
      <w:r>
        <w:br w:type="page"/>
      </w:r>
    </w:p>
    <w:p>
      <w:pPr>
        <w:keepNext/>
        <w:spacing w:before="360" w:after="120"/>
      </w:pPr>
      <w:r>
        <w:rPr>
          <w:rFonts w:ascii="Calibri" w:hAnsi="Calibri"/>
          <w:b/>
          <w:color w:val="1B365D"/>
          <w:sz w:val="32"/>
        </w:rPr>
        <w:t>9. Summary &amp; Future Scope</w:t>
      </w:r>
    </w:p>
    <w:p>
      <w:r>
        <w:rPr>
          <w:rFonts w:ascii="Calibri" w:hAnsi="Calibri"/>
          <w:i w:val="0"/>
          <w:color w:val="333333"/>
        </w:rPr>
        <w:t>WealthWise successfully implements a modern, single-page application structure for personal financial tracking. By utilizing FastAPI and SQLite, the application demonstrates excellent latency responses, zero memory leaks, and lightweight storage usage. Pydantic constraints ensure high database data validity, while Docker makes deployment simple.</w:t>
      </w:r>
    </w:p>
    <w:p>
      <w:pPr>
        <w:keepNext/>
        <w:spacing w:before="240" w:after="80"/>
      </w:pPr>
      <w:r>
        <w:rPr>
          <w:rFonts w:ascii="Calibri" w:hAnsi="Calibri"/>
          <w:b/>
          <w:color w:val="4A777A"/>
          <w:sz w:val="26"/>
        </w:rPr>
        <w:t>Future Enhancements Plan</w:t>
      </w:r>
    </w:p>
    <w:p>
      <w:pPr>
        <w:pStyle w:val="ListBullet"/>
        <w:spacing w:after="60"/>
      </w:pPr>
      <w:r>
        <w:rPr>
          <w:rFonts w:ascii="Calibri" w:hAnsi="Calibri"/>
          <w:b/>
        </w:rPr>
        <w:t xml:space="preserve">User Accounts &amp; Authentication: </w:t>
      </w:r>
      <w:r>
        <w:rPr>
          <w:rFonts w:ascii="Calibri" w:hAnsi="Calibri"/>
        </w:rPr>
        <w:t>Develop user registration, encryption-backed login credentials, and session token storage.</w:t>
      </w:r>
    </w:p>
    <w:p>
      <w:pPr>
        <w:pStyle w:val="ListBullet"/>
        <w:spacing w:after="60"/>
      </w:pPr>
      <w:r>
        <w:rPr>
          <w:rFonts w:ascii="Calibri" w:hAnsi="Calibri"/>
          <w:b/>
        </w:rPr>
        <w:t xml:space="preserve">Visual Charts &amp; Graphs: </w:t>
      </w:r>
      <w:r>
        <w:rPr>
          <w:rFonts w:ascii="Calibri" w:hAnsi="Calibri"/>
        </w:rPr>
        <w:t>Construct line and bar graphs using lightweight libraries (e.g. Chart.js) to show weekly and monthly spending trends.</w:t>
      </w:r>
    </w:p>
    <w:p>
      <w:pPr>
        <w:pStyle w:val="ListBullet"/>
        <w:spacing w:after="60"/>
      </w:pPr>
      <w:r>
        <w:rPr>
          <w:rFonts w:ascii="Calibri" w:hAnsi="Calibri"/>
          <w:b/>
        </w:rPr>
        <w:t xml:space="preserve">Multi-Currency Integration: </w:t>
      </w:r>
      <w:r>
        <w:rPr>
          <w:rFonts w:ascii="Calibri" w:hAnsi="Calibri"/>
        </w:rPr>
        <w:t>Include multi-currency support, permitting automatic exchange rate conversion to INR.</w:t>
      </w:r>
    </w:p>
    <w:p>
      <w:pPr>
        <w:pStyle w:val="ListBullet"/>
        <w:spacing w:after="60"/>
      </w:pPr>
      <w:r>
        <w:rPr>
          <w:rFonts w:ascii="Calibri" w:hAnsi="Calibri"/>
          <w:b/>
        </w:rPr>
        <w:t xml:space="preserve">Report Export Features: </w:t>
      </w:r>
      <w:r>
        <w:rPr>
          <w:rFonts w:ascii="Calibri" w:hAnsi="Calibri"/>
        </w:rPr>
        <w:t>Incorporate expense export capabilities to standard CSV, PDF, or Excel sheets for advanced calculation.</w:t>
      </w:r>
    </w:p>
    <w:p>
      <w:pPr>
        <w:pStyle w:val="ListBullet"/>
        <w:spacing w:after="60"/>
      </w:pPr>
      <w:r>
        <w:rPr>
          <w:rFonts w:ascii="Calibri" w:hAnsi="Calibri"/>
          <w:b/>
        </w:rPr>
        <w:t xml:space="preserve">Budget Limit Alerts: </w:t>
      </w:r>
      <w:r>
        <w:rPr>
          <w:rFonts w:ascii="Calibri" w:hAnsi="Calibri"/>
        </w:rPr>
        <w:t>Allow users to define strict maximum budget caps per category, alerting them when expenditures exceed 80% of the threshold.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