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II. KAZAKHSTAN'S EXTERNAL TRADE STRUCTURE (CONTEXT)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II.1. Overview of Kazakhstan's Trade Partners (2015–2025)</w:t>
      </w:r>
    </w:p>
    <w:p>
      <w:r>
        <w:t>Using existing project tables, Kazakhstan's trade with the China-Russia-EU comparison set in 2015 was distributed as: China 18.97%, Russia 27.04%, and EU 53.99% (table4_multivector_diversification.csv).</w:t>
      </w:r>
    </w:p>
    <w:p>
      <w:r>
        <w:t>By 2024, the same shares were: China 28.19%, Russia 26.06%, and EU 45.75% (same source).</w:t>
      </w:r>
    </w:p>
    <w:p>
      <w:r>
        <w:t>The project data window for these figures is 2015-2024 in the existing outputs.</w:t>
      </w:r>
    </w:p>
    <w:p>
      <w:r>
        <w:drawing>
          <wp:inline>
            <wp:extent cx="5760720" cy="49974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rade_flows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II.1. Existing project figure: Kazakhstan-China trade flows (2015-2024).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II.2. Evolution of Partner Shares in Total Trade (2015–2025)</w:t>
      </w:r>
    </w:p>
    <w:p>
      <w:r>
        <w:t>The existing share series shows a relative rise in China's position and a decline in the EU share within the selected China-Russia-EU comparison set.</w:t>
      </w:r>
    </w:p>
    <w:p>
      <w:r>
        <w:t>This indicates rebalancing rather than full displacement: all three partners remain systemically important in Kazakhstan's external trade structure.</w:t>
      </w:r>
    </w:p>
    <w:p>
      <w:r>
        <w:drawing>
          <wp:inline>
            <wp:extent cx="5760720" cy="49974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vulnerability_multivector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II.2. Existing project figure: multivector trade-share dynamics.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II.3. Basic Export–Import Composition with Russia vs. EU vs. China</w:t>
      </w:r>
    </w:p>
    <w:p>
      <w:r>
        <w:t>From the existing annual bilateral table, 2024 Kazakhstan-China trade is recorded as exports USD 29.79 bn, imports USD 30.31 bn, and balance USD -0.51 bn (table8_annual_bilateral_trade.csv).</w:t>
      </w:r>
    </w:p>
    <w:p>
      <w:r>
        <w:t>In comparative terms, the EU channel remains export-heavy for Kazakhstan while Russia and China channels are more import-intensive in manufactured and intermediate goods categories, as shown in the project figures.</w:t>
      </w:r>
    </w:p>
    <w:p>
      <w:r>
        <w:drawing>
          <wp:inline>
            <wp:extent cx="5760720" cy="49974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edging_behavior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II.3. Existing project figure: China-Russia comparative trade orientation.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III. STRUCTURAL FEATURES OF SINO–KAZAKH TRADE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III.1. China's Rise as Kazakhstan's Leading Trade Partner: Shares, Growth, and Timing</w:t>
      </w:r>
    </w:p>
    <w:p>
      <w:r>
        <w:t>Existing project outputs indicate that China's role strengthened sharply in the post-2022 period, including higher total bilateral turnover and stronger import penetration in key sectors.</w:t>
      </w:r>
    </w:p>
    <w:p>
      <w:r>
        <w:t>The timing pattern in the project's figures is consistent with a structural acceleration after 2022 rather than a smooth linear trend across the full decade.</w:t>
      </w:r>
    </w:p>
    <w:p>
      <w:r>
        <w:drawing>
          <wp:inline>
            <wp:extent cx="5760720" cy="49974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2023_structural_shift_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III.1. Existing project figure: 2023 structural shift timing.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III.2. Sectoral and Product Composition: Commodities vs. Manufactures</w:t>
      </w:r>
    </w:p>
    <w:p>
      <w:r>
        <w:t>The existing sectoral table shows asymmetry: exports to China are led by metals/minerals and energy, while imports from China are concentrated in machinery/electrical goods, textiles, and vehicles (table2_china_sectoral_breakdown.csv).</w:t>
      </w:r>
    </w:p>
    <w:p>
      <w:r>
        <w:t>This is a commodity-versus-manufactures profile in the existing project evidence, with high concentration in several manufacturing import categories.</w:t>
      </w:r>
    </w:p>
    <w:p>
      <w:r>
        <w:drawing>
          <wp:inline>
            <wp:extent cx="5760720" cy="49974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xport_composition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III.2a. Existing project figure: export composition with China.</w:t>
      </w:r>
    </w:p>
    <w:p>
      <w:r>
        <w:drawing>
          <wp:inline>
            <wp:extent cx="5760720" cy="49974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mport_composition_annot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III.2b. Existing project figure: import composition with China.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III.3. Trade Balance, Deficits, and Vulnerabilities</w:t>
      </w:r>
    </w:p>
    <w:p>
      <w:r>
        <w:t>Using existing data only, mean Kazakhstan-China annual trade balance was +USD 5.10 bn in 2015-2022 and -USD 2.27 bn in 2023-2024 (table8_annual_bilateral_trade.csv).</w:t>
      </w:r>
    </w:p>
    <w:p>
      <w:r>
        <w:t>This shift from surplus to deficit is the core vulnerability pattern documented in the project's balance and deficit figures.</w:t>
      </w:r>
    </w:p>
    <w:p>
      <w:r>
        <w:drawing>
          <wp:inline>
            <wp:extent cx="5760720" cy="49974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rade_balance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III.3. Existing project figure: trade balance dynamics.</w:t>
      </w:r>
    </w:p>
    <w:p>
      <w:r>
        <w:drawing>
          <wp:inline>
            <wp:extent cx="5760720" cy="49974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deficit_ratio_annot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III.3b. Existing project figure: deficit ratio trend.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III.4. Statistical Discrepancies and Data Politics</w:t>
      </w:r>
    </w:p>
    <w:p>
      <w:r>
        <w:t>The project already documents denominator effects: partner shares differ when measured in a selected partner set versus broader trade totals.</w:t>
      </w:r>
    </w:p>
    <w:p>
      <w:r>
        <w:t>Accordingly, apparent discrepancies across sources often reflect indicator construction choices (aggregation, comparison set, and mirror-statistics use) rather than direct contradiction.</w:t>
      </w:r>
    </w:p>
    <w:p>
      <w:r>
        <w:drawing>
          <wp:inline>
            <wp:extent cx="5760720" cy="49974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symmetry_index_annot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III.4. Existing project figure: asymmetry indicator.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IV. COMPARING CHINA TO OTHER PARTNERS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IV.1. Trade with China vs. Russia: Structure, Sectors, and Political Conditionality</w:t>
      </w:r>
    </w:p>
    <w:p>
      <w:r>
        <w:t>Existing figures indicate a stronger Chinese role in machinery/electrical, vehicles, and textiles, while Russia remains structurally important across energy-linked and intermediate categories.</w:t>
      </w:r>
    </w:p>
    <w:p>
      <w:r>
        <w:t>This implies different forms of dependence: supply-chain concentration risk toward China and integration/legacy dependence toward Russia.</w:t>
      </w:r>
    </w:p>
    <w:p>
      <w:r>
        <w:drawing>
          <wp:inline>
            <wp:extent cx="5760720" cy="49974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ectoral_penetration_heatmap_annot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IV.1. Existing project figure: sectoral penetration comparison.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IV.2. Trade with China vs. EU: Technology Content, Standards, and FDI Quality</w:t>
      </w:r>
    </w:p>
    <w:p>
      <w:r>
        <w:t>In the existing project narrative, China and the EU play different roles: China is central in volume and manufacturing supply, while the EU channel is more tied to standards-intensive goods and high-value export destinations for Kazakhstan.</w:t>
      </w:r>
    </w:p>
    <w:p>
      <w:r>
        <w:t>For policy interpretation, this is a volume-speed versus standards-quality distinction rather than a simple one-partner substitution story.</w:t>
      </w:r>
    </w:p>
    <w:p>
      <w:r>
        <w:drawing>
          <wp:inline>
            <wp:extent cx="5760720" cy="49974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ncentration_index_annota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IV.2. Existing project figure: concentration and partner-quality context.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IV.3. Perceived Risks: Dependency, Deindustrialization, and Societal Concerns</w:t>
      </w:r>
    </w:p>
    <w:p>
      <w:r>
        <w:t>The existing project evidence indicates a linked risk bundle: high import concentration in selected Chinese-manufactured sectors, persistent commodity-heavy export structure, and bargaining asymmetry under external shocks.</w:t>
      </w:r>
    </w:p>
    <w:p>
      <w:r>
        <w:t>In this frame, dependency and deindustrialization concerns are policy-relevant outcomes of observed trade structure, not only political rhetoric. Risk mitigation depends on supplier diversification and domestic upgrading, using the multivector approach documented in the project outputs.</w:t>
      </w:r>
    </w:p>
    <w:p>
      <w:r>
        <w:drawing>
          <wp:inline>
            <wp:extent cx="5760720" cy="49974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hina_penetration_annota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IV.3. Existing project figure: China import penetration and perceived dependency risk.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Significance of the Study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research will contribute to: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Theoretical debates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economic diplomacy and power asymmetry in IR.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Policy insights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Kazakh decision-makers seeking to balance development goals with national sovereignty.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understanding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Central Asia’s role in China’s foreign economic policy and broader global trends of regionalism and dependency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Knossos Port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One Belt and Road 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