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A5F"/>
          <w:sz w:val="64"/>
          <w:szCs w:val="64"/>
        </w:rPr>
        <w:t xml:space="preserve">LifeHub</w:t>
      </w:r>
    </w:p>
    <w:p>
      <w:pPr>
        <w:spacing w:after="100" w:before="200"/>
        <w:jc w:val="center"/>
      </w:pPr>
      <w:r>
        <w:rPr>
          <w:i/>
          <w:iCs/>
          <w:color w:val="2E6F8E"/>
          <w:sz w:val="28"/>
          <w:szCs w:val="28"/>
        </w:rPr>
        <w:t xml:space="preserve">Unified Personal Life-Management Mobile Application</w:t>
      </w:r>
    </w:p>
    <w:p>
      <w:pPr>
        <w:spacing w:before="400"/>
        <w:jc w:val="center"/>
      </w:pPr>
      <w:r>
        <w:rPr>
          <w:b/>
          <w:bCs/>
          <w:color w:val="595959"/>
          <w:sz w:val="24"/>
          <w:szCs w:val="24"/>
        </w:rPr>
        <w:t xml:space="preserve">Technical Design Document</w:t>
      </w:r>
    </w:p>
    <w:p>
      <w:pPr>
        <w:spacing w:before="80"/>
        <w:jc w:val="center"/>
      </w:pPr>
      <w:r>
        <w:rPr>
          <w:color w:val="595959"/>
          <w:sz w:val="22"/>
          <w:szCs w:val="22"/>
        </w:rPr>
        <w:t xml:space="preserve">Project-Based Learning (PBL) Submission</w:t>
      </w:r>
    </w:p>
    <w:p>
      <w:pPr>
        <w:pBdr>
          <w:top w:val="single" w:color="1F3A5F" w:sz="6" w:space="8"/>
        </w:pBdr>
        <w:spacing w:before="3600"/>
        <w:jc w:val="center"/>
      </w:pPr>
    </w:p>
    <w:p>
      <w:r>
        <w:br w:type="page"/>
      </w:r>
    </w:p>
    <w:p>
      <w:pPr>
        <w:sectPr>
          <w:pgSz w:w="12240" w:h="15840" w:orient="portrait"/>
          <w:pgMar w:top="1080" w:right="1080" w:bottom="1080" w:left="1080" w:header="708" w:footer="708" w:gutter="0"/>
          <w:pgNumType/>
          <w:docGrid w:linePitch="360"/>
        </w:sectPr>
      </w:pPr>
    </w:p>
    <w:p>
      <w:pPr>
        <w:spacing w:after="300"/>
      </w:pPr>
      <w:r>
        <w:rPr>
          <w:b/>
          <w:bCs/>
          <w:color w:val="1F3A5F"/>
          <w:sz w:val="30"/>
          <w:szCs w:val="30"/>
        </w:rPr>
        <w:t xml:space="preserve">Table of Contents</w:t>
      </w:r>
    </w:p>
    <w:p>
      <w:pPr>
        <w:tabs>
          <w:tab w:val="right" w:pos="9360" w:leader="dot"/>
        </w:tabs>
        <w:spacing w:after="180"/>
      </w:pPr>
      <w:r>
        <w:t>1. Project Overview</w:t>
      </w:r>
    </w:p>
    <w:p>
      <w:pPr>
        <w:tabs>
          <w:tab w:val="right" w:pos="9360" w:leader="dot"/>
        </w:tabs>
        <w:spacing w:after="180"/>
      </w:pPr>
      <w:r>
        <w:t>2. System Architecture</w:t>
      </w:r>
    </w:p>
    <w:p>
      <w:pPr>
        <w:tabs>
          <w:tab w:val="right" w:pos="9360" w:leader="dot"/>
        </w:tabs>
        <w:spacing w:after="180"/>
      </w:pPr>
      <w:r>
        <w:t>3. Technology Stack</w:t>
      </w:r>
    </w:p>
    <w:p>
      <w:pPr>
        <w:tabs>
          <w:tab w:val="right" w:pos="9360" w:leader="dot"/>
        </w:tabs>
        <w:spacing w:after="180"/>
      </w:pPr>
      <w:r>
        <w:t>4. Module Specifications</w:t>
      </w:r>
    </w:p>
    <w:p>
      <w:pPr>
        <w:tabs>
          <w:tab w:val="right" w:pos="9360" w:leader="dot"/>
        </w:tabs>
        <w:spacing w:after="180"/>
      </w:pPr>
      <w:r>
        <w:t xml:space="preserve">   4.1 Core Modules</w:t>
      </w:r>
    </w:p>
    <w:p>
      <w:pPr>
        <w:tabs>
          <w:tab w:val="right" w:pos="9360" w:leader="dot"/>
        </w:tabs>
        <w:spacing w:after="180"/>
      </w:pPr>
      <w:r>
        <w:t xml:space="preserve">   4.2 Extended Modules</w:t>
      </w:r>
    </w:p>
    <w:p>
      <w:pPr>
        <w:tabs>
          <w:tab w:val="right" w:pos="9360" w:leader="dot"/>
        </w:tabs>
        <w:spacing w:after="180"/>
      </w:pPr>
      <w:r>
        <w:t xml:space="preserve">   4.3 New Feature Specifications</w:t>
      </w:r>
    </w:p>
    <w:p>
      <w:pPr>
        <w:tabs>
          <w:tab w:val="right" w:pos="9360" w:leader="dot"/>
        </w:tabs>
        <w:spacing w:after="180"/>
      </w:pPr>
      <w:r>
        <w:t xml:space="preserve">   4.4 Functional Requirements Summary</w:t>
      </w:r>
    </w:p>
    <w:p>
      <w:pPr>
        <w:tabs>
          <w:tab w:val="right" w:pos="9360" w:leader="dot"/>
        </w:tabs>
        <w:spacing w:after="180"/>
      </w:pPr>
      <w:r>
        <w:t>5. Scalability Considerations</w:t>
      </w:r>
    </w:p>
    <w:p>
      <w:pPr>
        <w:tabs>
          <w:tab w:val="right" w:pos="9360" w:leader="dot"/>
        </w:tabs>
        <w:spacing w:after="180"/>
      </w:pPr>
      <w:r>
        <w:t>6. Encrypted Notes — Detailed Specification</w:t>
      </w:r>
    </w:p>
    <w:p>
      <w:pPr>
        <w:tabs>
          <w:tab w:val="right" w:pos="9360" w:leader="dot"/>
        </w:tabs>
        <w:spacing w:after="180"/>
      </w:pPr>
      <w:r>
        <w:t>7. Wearable Sync &amp; Email Event Extraction — Detailed Specification</w:t>
      </w:r>
    </w:p>
    <w:p>
      <w:r>
        <w:t>8. Meal Logging &amp; Water Tracking — Detailed Specification</w:t>
      </w:r>
    </w:p>
    <w:p>
      <w:pPr>
        <w:sectPr>
          <w:pgSz w:w="12240" w:h="15840" w:orient="portrait"/>
          <w:pgMar w:top="1080" w:right="1080" w:bottom="1080" w:left="1080" w:header="708" w:footer="708" w:gutter="0"/>
          <w:pgNumType/>
          <w:docGrid w:linePitch="360"/>
        </w:sectPr>
      </w:pPr>
      <w:r>
        <w:t xml:space="preserve">   8.7 Feature Scope &amp; Implementation Boundaries</w:t>
      </w:r>
    </w:p>
    <w:p>
      <w:pPr>
        <w:pStyle w:val="ListParagraph"/>
        <w:numPr>
          <w:ilvl w:val="0"/>
          <w:numId w:val="2"/>
        </w:numPr>
        <w:spacing w:after="90" w:line="264"/>
      </w:pPr>
      <w:r>
        <w:t>11. Conclusion</w:t>
      </w:r>
    </w:p>
    <w:p>
      <w:pPr>
        <w:pStyle w:val="ListParagraph"/>
        <w:numPr>
          <w:ilvl w:val="0"/>
          <w:numId w:val="2"/>
        </w:numPr>
        <w:spacing w:after="90" w:line="264"/>
      </w:pPr>
      <w:r>
        <w:t>10. Risk Assessment</w:t>
      </w:r>
    </w:p>
    <w:p>
      <w:pPr>
        <w:pStyle w:val="ListParagraph"/>
        <w:numPr>
          <w:ilvl w:val="0"/>
          <w:numId w:val="2"/>
        </w:numPr>
        <w:spacing w:after="90" w:line="264"/>
      </w:pPr>
      <w:r>
        <w:t xml:space="preserve">   9.1 Phase Summary Table</w:t>
      </w:r>
    </w:p>
    <w:p>
      <w:pPr>
        <w:pStyle w:val="ListParagraph"/>
        <w:numPr>
          <w:ilvl w:val="0"/>
          <w:numId w:val="2"/>
        </w:numPr>
        <w:spacing w:after="90" w:line="264"/>
      </w:pPr>
      <w:r>
        <w:t>9. Development Phases &amp; Milestones</w:t>
      </w:r>
    </w:p>
    <w:p>
      <w:pPr>
        <w:pStyle w:val="Heading1"/>
        <w:pBdr>
          <w:bottom w:val="single" w:color="1F3A5F" w:sz="6" w:space="4"/>
        </w:pBdr>
        <w:spacing w:after="200" w:before="400"/>
      </w:pPr>
      <w:r>
        <w:rPr>
          <w:b/>
          <w:bCs/>
          <w:color w:val="1F3A5F"/>
          <w:sz w:val="30"/>
          <w:szCs w:val="30"/>
        </w:rPr>
        <w:t xml:space="preserve">1. Project Overview</w:t>
      </w:r>
    </w:p>
    <w:p>
      <w:pPr>
        <w:pStyle w:val="Heading2"/>
        <w:spacing w:after="140" w:before="280"/>
      </w:pPr>
      <w:r>
        <w:rPr>
          <w:b/>
          <w:bCs/>
          <w:color w:val="2E6F8E"/>
          <w:sz w:val="24"/>
          <w:szCs w:val="24"/>
        </w:rPr>
        <w:t xml:space="preserve">1.1 Problem Statement</w:t>
      </w:r>
    </w:p>
    <w:p>
      <w:pPr>
        <w:spacing w:after="160" w:line="276"/>
      </w:pPr>
      <w:r>
        <w:rPr>
          <w:sz w:val="22"/>
          <w:szCs w:val="22"/>
        </w:rPr>
        <w:t xml:space="preserve">Individuals typically rely on a fragmented ecosystem of single-purpose mobile applications to manage daily life — a finance tracker, a fitness app, a meal-logging app, a note-taking app, a password manager, a calendar app, and browser bookmarks. This fragmentation leads to context-switching overhead, inconsistent data silos, and reduced adherence to tracking habits, since no single source of truth exists for a user's personal data, and many of these apps require an active internet connection for basic logging.</w:t>
      </w:r>
    </w:p>
    <w:p>
      <w:pPr>
        <w:pStyle w:val="Heading2"/>
        <w:spacing w:after="140" w:before="280"/>
      </w:pPr>
      <w:r>
        <w:rPr>
          <w:b/>
          <w:bCs/>
          <w:color w:val="2E6F8E"/>
          <w:sz w:val="24"/>
          <w:szCs w:val="24"/>
        </w:rPr>
        <w:t xml:space="preserve">1.2 Proposed Solution</w:t>
      </w:r>
    </w:p>
    <w:p>
      <w:pPr>
        <w:spacing w:after="160" w:line="276"/>
      </w:pPr>
      <w:r>
        <w:t>LifeHub is a unified, modular, offline-capable mobile application that consolidates finance tracking and monthly budgeting, fitness and nutrition logging, habit/routine tracking with timed sessions, calendar and reminder management including manually created trackable events and payment schedules, phone usage analytics, journaling, quick-access bookmarks, and secure encrypted notes into a single native mobile experience. The platform integrates device-native capabilities — wearable/health APIs, permitted device-usage APIs, and background email sync — to automate data entry and support cross-module data flow.</w:t>
      </w:r>
    </w:p>
    <w:p>
      <w:pPr>
        <w:pStyle w:val="Heading2"/>
        <w:spacing w:after="140" w:before="280"/>
      </w:pPr>
      <w:r>
        <w:rPr>
          <w:b/>
          <w:bCs/>
          <w:color w:val="2E6F8E"/>
          <w:sz w:val="24"/>
          <w:szCs w:val="24"/>
        </w:rPr>
        <w:t xml:space="preserve">1.3 Objectives</w:t>
      </w:r>
    </w:p>
    <w:p>
      <w:pPr>
        <w:pStyle w:val="ListParagraph"/>
        <w:numPr>
          <w:ilvl w:val="0"/>
          <w:numId w:val="2"/>
        </w:numPr>
        <w:spacing w:after="90" w:line="264"/>
      </w:pPr>
      <w:r>
        <w:rPr>
          <w:sz w:val="22"/>
          <w:szCs w:val="22"/>
        </w:rPr>
        <w:t xml:space="preserve">Deliver a single authenticated mobile environment for all personal tracking needs, usable on iOS and Android from one codebase</w:t>
      </w:r>
    </w:p>
    <w:p>
      <w:pPr>
        <w:pStyle w:val="ListParagraph"/>
        <w:numPr>
          <w:ilvl w:val="0"/>
          <w:numId w:val="2"/>
        </w:numPr>
        <w:spacing w:after="90" w:line="264"/>
      </w:pPr>
      <w:r>
        <w:rPr>
          <w:sz w:val="22"/>
          <w:szCs w:val="22"/>
        </w:rPr>
        <w:t xml:space="preserve">Demonstrate a modular, service-oriented backend architecture that scales incrementally by feature</w:t>
      </w:r>
    </w:p>
    <w:p>
      <w:pPr>
        <w:pStyle w:val="ListParagraph"/>
        <w:numPr>
          <w:ilvl w:val="0"/>
          <w:numId w:val="2"/>
        </w:numPr>
        <w:spacing w:after="90" w:line="264"/>
      </w:pPr>
      <w:r>
        <w:rPr>
          <w:sz w:val="22"/>
          <w:szCs w:val="22"/>
        </w:rPr>
        <w:t xml:space="preserve">Apply secure-by-design principles, particularly for sensitive data (financial records, encrypted notes) and device key storage</w:t>
      </w:r>
    </w:p>
    <w:p>
      <w:pPr>
        <w:pStyle w:val="ListParagraph"/>
        <w:numPr>
          <w:ilvl w:val="0"/>
          <w:numId w:val="2"/>
        </w:numPr>
        <w:spacing w:after="90" w:line="264"/>
      </w:pPr>
      <w:r>
        <w:rPr>
          <w:sz w:val="22"/>
          <w:szCs w:val="22"/>
        </w:rPr>
        <w:t xml:space="preserve">Demonstrate integration engineering via native wearable/health APIs and an email-provider API for automated event extraction</w:t>
      </w:r>
    </w:p>
    <w:p>
      <w:pPr>
        <w:pStyle w:val="ListParagraph"/>
        <w:numPr>
          <w:ilvl w:val="0"/>
          <w:numId w:val="2"/>
        </w:numPr>
        <w:spacing w:after="90" w:line="264"/>
      </w:pPr>
      <w:r>
        <w:rPr>
          <w:sz w:val="22"/>
          <w:szCs w:val="22"/>
        </w:rPr>
        <w:t xml:space="preserve">Support offline-first usage patterns for on-the-go logging (gym, meals) with background sync when connectivity resumes</w:t>
      </w:r>
    </w:p>
    <w:p>
      <w:pPr>
        <w:pStyle w:val="ListParagraph"/>
        <w:numPr>
          <w:ilvl w:val="0"/>
          <w:numId w:val="2"/>
        </w:numPr>
        <w:spacing w:after="90" w:line="264"/>
      </w:pPr>
      <w:r>
        <w:rPr>
          <w:sz w:val="22"/>
          <w:szCs w:val="22"/>
        </w:rPr>
        <w:t xml:space="preserve">Produce a system that is extensible — new tracking modules can be added without re-architecting the core</w:t>
      </w:r>
    </w:p>
    <w:p>
      <w:pPr>
        <w:pStyle w:val="Heading2"/>
        <w:spacing w:after="140" w:before="280"/>
      </w:pPr>
      <w:r>
        <w:rPr>
          <w:b/>
          <w:bCs/>
          <w:color w:val="2E6F8E"/>
          <w:sz w:val="24"/>
          <w:szCs w:val="24"/>
        </w:rPr>
        <w:t xml:space="preserve">1.4 Target Users</w:t>
      </w:r>
    </w:p>
    <w:p>
      <w:pPr>
        <w:spacing w:after="160" w:line="276"/>
      </w:pPr>
      <w:r>
        <w:rPr>
          <w:sz w:val="22"/>
          <w:szCs w:val="22"/>
        </w:rPr>
        <w:t xml:space="preserve">Individuals seeking a consolidated personal productivity and wellness tool on mobile — students, working professionals, and self-improvement/quantified-self enthusiasts who currently juggle 3+ separate tracking apps and want automated, low-friction logging.</w:t>
      </w:r>
    </w:p>
    <w:p>
      <w:pPr>
        <w:pStyle w:val="Heading2"/>
        <w:spacing w:after="140" w:before="280"/>
      </w:pPr>
      <w:r>
        <w:rPr>
          <w:b/>
          <w:bCs/>
          <w:color w:val="2E6F8E"/>
          <w:sz w:val="24"/>
          <w:szCs w:val="24"/>
        </w:rPr>
        <w:t xml:space="preserve">1.5 Platform Scope</w:t>
      </w:r>
    </w:p>
    <w:p>
      <w:pPr>
        <w:pStyle w:val="ListParagraph"/>
        <w:numPr>
          <w:ilvl w:val="0"/>
          <w:numId w:val="2"/>
        </w:numPr>
        <w:spacing w:after="90" w:line="264"/>
      </w:pPr>
      <w:r>
        <w:rPr>
          <w:b/>
          <w:bCs/>
          <w:sz w:val="22"/>
          <w:szCs w:val="22"/>
        </w:rPr>
        <w:t xml:space="preserve">Primary platform:</w:t>
      </w:r>
      <w:r>
        <w:rPr>
          <w:sz w:val="22"/>
          <w:szCs w:val="22"/>
        </w:rPr>
        <w:t xml:space="preserve"> Native mobile application (iOS + Android) via a single cross-platform codebase</w:t>
      </w:r>
    </w:p>
    <w:p>
      <w:pPr>
        <w:pStyle w:val="ListParagraph"/>
        <w:numPr>
          <w:ilvl w:val="0"/>
          <w:numId w:val="2"/>
        </w:numPr>
        <w:spacing w:after="90" w:line="264"/>
      </w:pPr>
      <w:r>
        <w:rPr>
          <w:b/>
          <w:bCs/>
          <w:sz w:val="22"/>
          <w:szCs w:val="22"/>
        </w:rPr>
        <w:t xml:space="preserve">Secondary platform (future/stretch):</w:t>
      </w:r>
      <w:r>
        <w:rPr>
          <w:sz w:val="22"/>
          <w:szCs w:val="22"/>
        </w:rPr>
        <w:t xml:space="preserve"> Companion web dashboard for data review, reusing the same backend API</w:t>
      </w:r>
    </w:p>
    <w:p>
      <w:pPr>
        <w:pStyle w:val="Heading1"/>
        <w:pBdr>
          <w:bottom w:val="single" w:color="1F3A5F" w:sz="6" w:space="4"/>
        </w:pBdr>
        <w:spacing w:after="200" w:before="400"/>
      </w:pPr>
      <w:r>
        <w:rPr>
          <w:b/>
          <w:bCs/>
          <w:color w:val="1F3A5F"/>
          <w:sz w:val="30"/>
          <w:szCs w:val="30"/>
        </w:rPr>
        <w:t xml:space="preserve">2. System Architecture</w:t>
      </w:r>
    </w:p>
    <w:p>
      <w:pPr>
        <w:pStyle w:val="Heading2"/>
        <w:spacing w:after="140" w:before="280"/>
      </w:pPr>
      <w:r>
        <w:rPr>
          <w:b/>
          <w:bCs/>
          <w:color w:val="2E6F8E"/>
          <w:sz w:val="24"/>
          <w:szCs w:val="24"/>
        </w:rPr>
        <w:t xml:space="preserve">2.1 Architectural Style</w:t>
      </w:r>
    </w:p>
    <w:p>
      <w:pPr>
        <w:spacing w:after="160" w:line="276"/>
      </w:pPr>
      <w:r>
        <w:rPr>
          <w:sz w:val="22"/>
          <w:szCs w:val="22"/>
        </w:rPr>
        <w:t xml:space="preserve">LifeHub follows a modular monolith backend architecture paired with an offline-first mobile client. The backend is a single deployable service internally organized into independent, loosely-coupled modules (bounded contexts) that communicate through well-defined internal interfaces rather than direct database access. The mobile client maintains a local embedded database that mirrors server state, enabling full functionality without connectivity and syncing changes opportunistically. This preserves the option to extract individual backend modules into standalone microservices in a future iteration, without incurring the operational overhead of a distributed system during initial development.</w:t>
      </w:r>
    </w:p>
    <w:p>
      <w:pPr>
        <w:pStyle w:val="Heading2"/>
        <w:spacing w:after="140" w:before="280"/>
      </w:pPr>
      <w:r>
        <w:rPr>
          <w:b/>
          <w:bCs/>
          <w:color w:val="2E6F8E"/>
          <w:sz w:val="24"/>
          <w:szCs w:val="24"/>
        </w:rPr>
        <w:t xml:space="preserve">2.2 High-Level Component Diagram (Textual)</w:t>
      </w:r>
    </w:p>
    <w:p>
      <w:pPr>
        <w:shd w:fill="F4F6F7" w:color="auto" w:val="clear"/>
        <w:spacing w:after="0"/>
        <w:ind w:left="200"/>
      </w:pPr>
      <w:r>
        <w:rPr>
          <w:rFonts w:ascii="Consolas" w:cs="Consolas" w:eastAsia="Consolas" w:hAnsi="Consolas"/>
          <w:color w:val="2C3E50"/>
          <w:sz w:val="19"/>
          <w:szCs w:val="19"/>
        </w:rPr>
        <w:t xml:space="preserve">[ Mobile Client (iOS / Android — React Native) ]</w:t>
      </w:r>
    </w:p>
    <w:p>
      <w:pPr>
        <w:shd w:fill="F4F6F7" w:color="auto" w:val="clear"/>
        <w:spacing w:after="0"/>
        <w:ind w:left="200"/>
      </w:pPr>
      <w:r>
        <w:rPr>
          <w:rFonts w:ascii="Consolas" w:cs="Consolas" w:eastAsia="Consolas" w:hAnsi="Consolas"/>
          <w:color w:val="2C3E50"/>
          <w:sz w:val="19"/>
          <w:szCs w:val="19"/>
        </w:rPr>
        <w:t xml:space="preserve">        |  Local SQLite (offline-first) &lt;-&gt; Sync Engine</w:t>
      </w:r>
    </w:p>
    <w:p>
      <w:pPr>
        <w:shd w:fill="F4F6F7" w:color="auto" w:val="clear"/>
        <w:spacing w:after="0"/>
        <w:ind w:left="200"/>
      </w:pPr>
      <w:r>
        <w:rPr>
          <w:rFonts w:ascii="Consolas" w:cs="Consolas" w:eastAsia="Consolas" w:hAnsi="Consolas"/>
          <w:color w:val="2C3E50"/>
          <w:sz w:val="19"/>
          <w:szCs w:val="19"/>
        </w:rPr>
        <w:t xml:space="preserve">        |  HTTPS / REST (JWT auth)</w:t>
      </w:r>
    </w:p>
    <w:p>
      <w:pPr>
        <w:shd w:fill="F4F6F7" w:color="auto" w:val="clear"/>
        <w:spacing w:after="0"/>
        <w:ind w:left="200"/>
      </w:pPr>
      <w:r>
        <w:rPr>
          <w:rFonts w:ascii="Consolas" w:cs="Consolas" w:eastAsia="Consolas" w:hAnsi="Consolas"/>
          <w:color w:val="2C3E50"/>
          <w:sz w:val="19"/>
          <w:szCs w:val="19"/>
        </w:rPr>
        <w:t xml:space="preserve">        v</w:t>
      </w:r>
    </w:p>
    <w:p>
      <w:pPr>
        <w:shd w:fill="F4F6F7" w:color="auto" w:val="clear"/>
        <w:spacing w:after="0"/>
        <w:ind w:left="200"/>
      </w:pPr>
      <w:r>
        <w:rPr>
          <w:rFonts w:ascii="Consolas" w:cs="Consolas" w:eastAsia="Consolas" w:hAnsi="Consolas"/>
          <w:color w:val="2C3E50"/>
          <w:sz w:val="19"/>
          <w:szCs w:val="19"/>
        </w:rPr>
        <w:t xml:space="preserve">[ API Gateway / BFF Layer ]</w:t>
      </w:r>
    </w:p>
    <w:p>
      <w:pPr>
        <w:shd w:fill="F4F6F7" w:color="auto" w:val="clear"/>
        <w:spacing w:after="0"/>
        <w:ind w:left="200"/>
      </w:pPr>
      <w:r>
        <w:rPr>
          <w:rFonts w:ascii="Consolas" w:cs="Consolas" w:eastAsia="Consolas" w:hAnsi="Consolas"/>
          <w:color w:val="2C3E50"/>
          <w:sz w:val="19"/>
          <w:szCs w:val="19"/>
        </w:rPr>
        <w:t xml:space="preserve">        |</w:t>
      </w:r>
    </w:p>
    <w:p>
      <w:pPr>
        <w:shd w:fill="F4F6F7" w:color="auto" w:val="clear"/>
        <w:spacing w:after="0"/>
        <w:ind w:left="200"/>
      </w:pPr>
      <w:r>
        <w:rPr>
          <w:rFonts w:ascii="Consolas" w:cs="Consolas" w:eastAsia="Consolas" w:hAnsi="Consolas"/>
          <w:color w:val="2C3E50"/>
          <w:sz w:val="19"/>
          <w:szCs w:val="19"/>
        </w:rPr>
        <w:t xml:space="preserve">        v</w:t>
      </w:r>
    </w:p>
    <w:p>
      <w:pPr>
        <w:shd w:fill="F4F6F7" w:color="auto" w:val="clear"/>
        <w:spacing w:after="0"/>
        <w:ind w:left="200"/>
      </w:pPr>
      <w:r>
        <w:rPr>
          <w:rFonts w:ascii="Consolas" w:cs="Consolas" w:eastAsia="Consolas" w:hAnsi="Consolas"/>
          <w:color w:val="2C3E50"/>
          <w:sz w:val="19"/>
          <w:szCs w:val="19"/>
        </w:rPr>
        <w:t xml:space="preserve">[ Application Layer ]  —  Auth, Finance, Fitness, Habit, Calendar,</w:t>
      </w:r>
    </w:p>
    <w:p>
      <w:pPr>
        <w:shd w:fill="F4F6F7" w:color="auto" w:val="clear"/>
        <w:spacing w:after="0"/>
        <w:ind w:left="200"/>
      </w:pPr>
      <w:r>
        <w:rPr>
          <w:rFonts w:ascii="Consolas" w:cs="Consolas" w:eastAsia="Consolas" w:hAnsi="Consolas"/>
          <w:color w:val="2C3E50"/>
          <w:sz w:val="19"/>
          <w:szCs w:val="19"/>
        </w:rPr>
        <w:t xml:space="preserve">                            Notes, Bookmarks modules</w:t>
      </w:r>
    </w:p>
    <w:p>
      <w:pPr>
        <w:shd w:fill="F4F6F7" w:color="auto" w:val="clear"/>
        <w:spacing w:after="0"/>
        <w:ind w:left="200"/>
      </w:pPr>
      <w:r>
        <w:rPr>
          <w:rFonts w:ascii="Consolas" w:cs="Consolas" w:eastAsia="Consolas" w:hAnsi="Consolas"/>
          <w:color w:val="2C3E50"/>
          <w:sz w:val="19"/>
          <w:szCs w:val="19"/>
        </w:rPr>
        <w:t xml:space="preserve">        |</w:t>
      </w:r>
    </w:p>
    <w:p>
      <w:pPr>
        <w:shd w:fill="F4F6F7" w:color="auto" w:val="clear"/>
        <w:spacing w:after="0"/>
        <w:ind w:left="200"/>
      </w:pPr>
      <w:r>
        <w:rPr>
          <w:rFonts w:ascii="Consolas" w:cs="Consolas" w:eastAsia="Consolas" w:hAnsi="Consolas"/>
          <w:color w:val="2C3E50"/>
          <w:sz w:val="19"/>
          <w:szCs w:val="19"/>
        </w:rPr>
        <w:t xml:space="preserve">        v</w:t>
      </w:r>
    </w:p>
    <w:p>
      <w:pPr>
        <w:shd w:fill="F4F6F7" w:color="auto" w:val="clear"/>
        <w:spacing w:after="0"/>
        <w:ind w:left="200"/>
      </w:pPr>
      <w:r>
        <w:rPr>
          <w:rFonts w:ascii="Consolas" w:cs="Consolas" w:eastAsia="Consolas" w:hAnsi="Consolas"/>
          <w:color w:val="2C3E50"/>
          <w:sz w:val="19"/>
          <w:szCs w:val="19"/>
        </w:rPr>
        <w:t xml:space="preserve">[ Data Access Layer ]  —  ORM / Repository pattern</w:t>
      </w:r>
    </w:p>
    <w:p>
      <w:pPr>
        <w:shd w:fill="F4F6F7" w:color="auto" w:val="clear"/>
        <w:spacing w:after="0"/>
        <w:ind w:left="200"/>
      </w:pPr>
      <w:r>
        <w:rPr>
          <w:rFonts w:ascii="Consolas" w:cs="Consolas" w:eastAsia="Consolas" w:hAnsi="Consolas"/>
          <w:color w:val="2C3E50"/>
          <w:sz w:val="19"/>
          <w:szCs w:val="19"/>
        </w:rPr>
        <w:t xml:space="preserve">        |</w:t>
      </w:r>
    </w:p>
    <w:p>
      <w:pPr>
        <w:shd w:fill="F4F6F7" w:color="auto" w:val="clear"/>
        <w:spacing w:after="0"/>
        <w:ind w:left="200"/>
      </w:pPr>
      <w:r>
        <w:rPr>
          <w:rFonts w:ascii="Consolas" w:cs="Consolas" w:eastAsia="Consolas" w:hAnsi="Consolas"/>
          <w:color w:val="2C3E50"/>
          <w:sz w:val="19"/>
          <w:szCs w:val="19"/>
        </w:rPr>
        <w:t xml:space="preserve">        v</w:t>
      </w:r>
    </w:p>
    <w:p>
      <w:pPr>
        <w:shd w:fill="F4F6F7" w:color="auto" w:val="clear"/>
        <w:spacing w:after="0"/>
        <w:ind w:left="200"/>
      </w:pPr>
      <w:r>
        <w:rPr>
          <w:rFonts w:ascii="Consolas" w:cs="Consolas" w:eastAsia="Consolas" w:hAnsi="Consolas"/>
          <w:color w:val="2C3E50"/>
          <w:sz w:val="19"/>
          <w:szCs w:val="19"/>
        </w:rPr>
        <w:t xml:space="preserve">[ Persistence Layer ]  —  Relational DB + Cache + Object storage</w:t>
      </w:r>
    </w:p>
    <w:p>
      <w:pPr>
        <w:shd w:fill="F4F6F7" w:color="auto" w:val="clear"/>
        <w:spacing w:after="0"/>
        <w:ind w:left="200"/>
      </w:pPr>
      <w:r>
        <w:rPr>
          <w:rFonts w:ascii="Consolas" w:cs="Consolas" w:eastAsia="Consolas" w:hAnsi="Consolas"/>
          <w:color w:val="2C3E50"/>
          <w:sz w:val="19"/>
          <w:szCs w:val="19"/>
        </w:rPr>
        <w:t xml:space="preserve"> </w:t>
      </w:r>
    </w:p>
    <w:p>
      <w:pPr>
        <w:shd w:fill="F4F6F7" w:color="auto" w:val="clear"/>
        <w:spacing w:after="0"/>
        <w:ind w:left="200"/>
      </w:pPr>
      <w:r>
        <w:rPr>
          <w:rFonts w:ascii="Consolas" w:cs="Consolas" w:eastAsia="Consolas" w:hAnsi="Consolas"/>
          <w:color w:val="2C3E50"/>
          <w:sz w:val="19"/>
          <w:szCs w:val="19"/>
        </w:rPr>
        <w:t xml:space="preserve">[ Background Workers ]  —  Wearable/Health sync jobs, Email polling</w:t>
      </w:r>
    </w:p>
    <w:p>
      <w:pPr>
        <w:shd w:fill="F4F6F7" w:color="auto" w:val="clear"/>
        <w:spacing w:after="0"/>
        <w:ind w:left="200"/>
      </w:pPr>
      <w:r>
        <w:rPr>
          <w:rFonts w:ascii="Consolas" w:cs="Consolas" w:eastAsia="Consolas" w:hAnsi="Consolas"/>
          <w:color w:val="2C3E50"/>
          <w:sz w:val="19"/>
          <w:szCs w:val="19"/>
        </w:rPr>
        <w:t xml:space="preserve">                            + NLP event-extraction jobs</w:t>
      </w:r>
    </w:p>
    <w:p>
      <w:pPr>
        <w:shd w:fill="F4F6F7" w:color="auto" w:val="clear"/>
        <w:spacing w:after="0"/>
        <w:ind w:left="200"/>
      </w:pPr>
      <w:r>
        <w:rPr>
          <w:rFonts w:ascii="Consolas" w:cs="Consolas" w:eastAsia="Consolas" w:hAnsi="Consolas"/>
          <w:color w:val="2C3E50"/>
          <w:sz w:val="19"/>
          <w:szCs w:val="19"/>
        </w:rPr>
        <w:t xml:space="preserve">        |</w:t>
      </w:r>
    </w:p>
    <w:p>
      <w:pPr>
        <w:shd w:fill="F4F6F7" w:color="auto" w:val="clear"/>
        <w:spacing w:after="0"/>
        <w:ind w:left="200"/>
      </w:pPr>
      <w:r>
        <w:rPr>
          <w:rFonts w:ascii="Consolas" w:cs="Consolas" w:eastAsia="Consolas" w:hAnsi="Consolas"/>
          <w:color w:val="2C3E50"/>
          <w:sz w:val="19"/>
          <w:szCs w:val="19"/>
        </w:rPr>
        <w:t xml:space="preserve">        v</w:t>
      </w:r>
    </w:p>
    <w:p>
      <w:pPr>
        <w:shd w:fill="F4F6F7" w:color="auto" w:val="clear"/>
        <w:spacing w:after="0"/>
        <w:ind w:left="200"/>
      </w:pPr>
      <w:r>
        <w:rPr>
          <w:rFonts w:ascii="Consolas" w:cs="Consolas" w:eastAsia="Consolas" w:hAnsi="Consolas"/>
          <w:color w:val="2C3E50"/>
          <w:sz w:val="19"/>
          <w:szCs w:val="19"/>
        </w:rPr>
        <w:t xml:space="preserve">[ External Integrations ]  —  HealthKit / Health Connect / Fitbit API,</w:t>
      </w:r>
    </w:p>
    <w:p>
      <w:pPr>
        <w:shd w:fill="F4F6F7" w:color="auto" w:val="clear"/>
        <w:spacing w:after="0"/>
        <w:ind w:left="200"/>
      </w:pPr>
      <w:r>
        <w:t>Gmail API / Microsoft Graph API / Device Usage &amp; Screen-Time APIs</w:t>
      </w:r>
    </w:p>
    <w:p>
      <w:pPr>
        <w:spacing w:after="160"/>
      </w:pPr>
    </w:p>
    <w:p>
      <w:pPr>
        <w:pStyle w:val="Heading2"/>
        <w:spacing w:after="140" w:before="280"/>
      </w:pPr>
      <w:r>
        <w:rPr>
          <w:b/>
          <w:bCs/>
          <w:color w:val="2E6F8E"/>
          <w:sz w:val="24"/>
          <w:szCs w:val="24"/>
        </w:rPr>
        <w:t xml:space="preserve">2.3 Design Principles</w:t>
      </w:r>
    </w:p>
    <w:p>
      <w:pPr>
        <w:pStyle w:val="ListParagraph"/>
        <w:numPr>
          <w:ilvl w:val="0"/>
          <w:numId w:val="2"/>
        </w:numPr>
        <w:spacing w:after="90" w:line="264"/>
      </w:pPr>
      <w:r>
        <w:rPr>
          <w:b/>
          <w:bCs/>
          <w:sz w:val="22"/>
          <w:szCs w:val="22"/>
        </w:rPr>
        <w:t xml:space="preserve">Offline-first:</w:t>
      </w:r>
      <w:r>
        <w:rPr>
          <w:sz w:val="22"/>
          <w:szCs w:val="22"/>
        </w:rPr>
        <w:t xml:space="preserve"> all core logging (finance, fitness, meals, habits) works fully offline, with a local-first data store synced to the backend</w:t>
      </w:r>
    </w:p>
    <w:p>
      <w:pPr>
        <w:pStyle w:val="ListParagraph"/>
        <w:numPr>
          <w:ilvl w:val="0"/>
          <w:numId w:val="2"/>
        </w:numPr>
        <w:spacing w:after="90" w:line="264"/>
      </w:pPr>
      <w:r>
        <w:rPr>
          <w:b/>
          <w:bCs/>
          <w:sz w:val="22"/>
          <w:szCs w:val="22"/>
        </w:rPr>
        <w:t xml:space="preserve">Separation of concerns:</w:t>
      </w:r>
      <w:r>
        <w:rPr>
          <w:sz w:val="22"/>
          <w:szCs w:val="22"/>
        </w:rPr>
        <w:t xml:space="preserve"> each backend module owns its own data models and business logic</w:t>
      </w:r>
    </w:p>
    <w:p>
      <w:pPr>
        <w:pStyle w:val="ListParagraph"/>
        <w:numPr>
          <w:ilvl w:val="0"/>
          <w:numId w:val="2"/>
        </w:numPr>
        <w:spacing w:after="90" w:line="264"/>
      </w:pPr>
      <w:r>
        <w:rPr>
          <w:b/>
          <w:bCs/>
          <w:sz w:val="22"/>
          <w:szCs w:val="22"/>
        </w:rPr>
        <w:t xml:space="preserve">API-first design:</w:t>
      </w:r>
      <w:r>
        <w:rPr>
          <w:sz w:val="22"/>
          <w:szCs w:val="22"/>
        </w:rPr>
        <w:t xml:space="preserve"> all modules exposed through a documented REST interface, enabling both the mobile client and a future web dashboard</w:t>
      </w:r>
    </w:p>
    <w:p>
      <w:pPr>
        <w:pStyle w:val="ListParagraph"/>
        <w:numPr>
          <w:ilvl w:val="0"/>
          <w:numId w:val="2"/>
        </w:numPr>
        <w:spacing w:after="90" w:line="264"/>
      </w:pPr>
      <w:r>
        <w:rPr>
          <w:b/>
          <w:bCs/>
          <w:sz w:val="22"/>
          <w:szCs w:val="22"/>
        </w:rPr>
        <w:t xml:space="preserve">Stateless application layer:</w:t>
      </w:r>
      <w:r>
        <w:rPr>
          <w:sz w:val="22"/>
          <w:szCs w:val="22"/>
        </w:rPr>
        <w:t xml:space="preserve"> session state externalized (JWT-based auth) to support horizontal scaling</w:t>
      </w:r>
    </w:p>
    <w:p>
      <w:pPr>
        <w:pStyle w:val="ListParagraph"/>
        <w:numPr>
          <w:ilvl w:val="0"/>
          <w:numId w:val="2"/>
        </w:numPr>
        <w:spacing w:after="90" w:line="264"/>
      </w:pPr>
      <w:r>
        <w:rPr>
          <w:b/>
          <w:bCs/>
          <w:sz w:val="22"/>
          <w:szCs w:val="22"/>
        </w:rPr>
        <w:t xml:space="preserve">Event-driven cross-module communication:</w:t>
      </w:r>
      <w:r>
        <w:rPr>
          <w:sz w:val="22"/>
          <w:szCs w:val="22"/>
        </w:rPr>
        <w:t xml:space="preserve"> modules publish domain events (e.g., WorkoutLogged) consumed by other modules (e.g., HabitTracker) to avoid tight coupling</w:t>
      </w:r>
    </w:p>
    <w:p>
      <w:pPr>
        <w:pStyle w:val="ListParagraph"/>
        <w:numPr>
          <w:ilvl w:val="0"/>
          <w:numId w:val="2"/>
        </w:numPr>
        <w:spacing w:after="90" w:line="264"/>
      </w:pPr>
      <w:r>
        <w:rPr>
          <w:b/>
          <w:bCs/>
          <w:sz w:val="22"/>
          <w:szCs w:val="22"/>
        </w:rPr>
        <w:t xml:space="preserve">Security by design:</w:t>
      </w:r>
      <w:r>
        <w:rPr>
          <w:sz w:val="22"/>
          <w:szCs w:val="22"/>
        </w:rPr>
        <w:t xml:space="preserve"> encryption at rest for sensitive fields, encryption in transit (TLS), least-privilege access control, hardware-backed key storage on-device</w:t>
      </w:r>
    </w:p>
    <w:p>
      <w:pPr>
        <w:pStyle w:val="Heading1"/>
        <w:pBdr>
          <w:bottom w:val="single" w:color="1F3A5F" w:sz="6" w:space="4"/>
        </w:pBdr>
        <w:spacing w:after="200" w:before="400"/>
      </w:pPr>
      <w:r>
        <w:rPr>
          <w:b/>
          <w:bCs/>
          <w:color w:val="1F3A5F"/>
          <w:sz w:val="30"/>
          <w:szCs w:val="30"/>
        </w:rPr>
        <w:t xml:space="preserve">3. Technology Stack</w:t>
      </w:r>
    </w:p>
    <w:p>
      <w:pPr>
        <w:pStyle w:val="Heading2"/>
        <w:spacing w:after="140" w:before="280"/>
      </w:pPr>
      <w:r>
        <w:rPr>
          <w:b/>
          <w:bCs/>
          <w:color w:val="2E6F8E"/>
          <w:sz w:val="24"/>
          <w:szCs w:val="24"/>
        </w:rPr>
        <w:t xml:space="preserve">3.1 Mobile Client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4680"/>
      </w:tblGrid>
      <w:tr>
        <w:trPr>
          <w:tblHeader/>
        </w:trPr>
        <w:tc>
          <w:tcPr>
            <w:shd w:fill="1F3A5F" w:color="auto" w:val="clear"/>
            <w:tcMar>
              <w:top w:type="dxa" w:w="100"/>
              <w:left w:type="dxa" w:w="120"/>
              <w:bottom w:type="dxa" w:w="100"/>
              <w:right w:type="dxa" w:w="120"/>
            </w:tcMar>
            <w:vAlign w:val="center"/>
          </w:tcPr>
          <w:p>
            <w:r>
              <w:rPr>
                <w:b/>
                <w:bCs/>
                <w:color w:val="FFFFFF"/>
                <w:sz w:val="20"/>
                <w:szCs w:val="20"/>
              </w:rPr>
              <w:t xml:space="preserve">Layer</w:t>
            </w:r>
          </w:p>
        </w:tc>
        <w:tc>
          <w:tcPr>
            <w:shd w:fill="1F3A5F" w:color="auto" w:val="clear"/>
            <w:tcMar>
              <w:top w:type="dxa" w:w="100"/>
              <w:left w:type="dxa" w:w="120"/>
              <w:bottom w:type="dxa" w:w="100"/>
              <w:right w:type="dxa" w:w="120"/>
            </w:tcMar>
            <w:vAlign w:val="center"/>
          </w:tcPr>
          <w:p>
            <w:r>
              <w:rPr>
                <w:b/>
                <w:bCs/>
                <w:color w:val="FFFFFF"/>
                <w:sz w:val="20"/>
                <w:szCs w:val="20"/>
              </w:rPr>
              <w:t xml:space="preserve">Technology</w:t>
            </w:r>
          </w:p>
        </w:tc>
        <w:tc>
          <w:tcPr>
            <w:shd w:fill="1F3A5F" w:color="auto" w:val="clear"/>
            <w:tcMar>
              <w:top w:type="dxa" w:w="100"/>
              <w:left w:type="dxa" w:w="120"/>
              <w:bottom w:type="dxa" w:w="100"/>
              <w:right w:type="dxa" w:w="120"/>
            </w:tcMar>
            <w:vAlign w:val="center"/>
          </w:tcPr>
          <w:p>
            <w:r>
              <w:rPr>
                <w:b/>
                <w:bCs/>
                <w:color w:val="FFFFFF"/>
                <w:sz w:val="20"/>
                <w:szCs w:val="20"/>
              </w:rPr>
              <w:t xml:space="preserve">Justification</w:t>
            </w:r>
          </w:p>
        </w:tc>
      </w:tr>
      <w:tr>
        <w:tc>
          <w:tcPr>
            <w:tcMar>
              <w:top w:type="dxa" w:w="90"/>
              <w:left w:type="dxa" w:w="120"/>
              <w:bottom w:type="dxa" w:w="90"/>
              <w:right w:type="dxa" w:w="120"/>
            </w:tcMar>
            <w:vAlign w:val="center"/>
          </w:tcPr>
          <w:p>
            <w:r>
              <w:rPr>
                <w:color w:val="222222"/>
                <w:sz w:val="22"/>
                <w:szCs w:val="22"/>
              </w:rPr>
              <w:t xml:space="preserve">Framework</w:t>
            </w:r>
          </w:p>
        </w:tc>
        <w:tc>
          <w:tcPr>
            <w:tcMar>
              <w:top w:type="dxa" w:w="90"/>
              <w:left w:type="dxa" w:w="120"/>
              <w:bottom w:type="dxa" w:w="90"/>
              <w:right w:type="dxa" w:w="120"/>
            </w:tcMar>
            <w:vAlign w:val="center"/>
          </w:tcPr>
          <w:p>
            <w:r>
              <w:rPr>
                <w:color w:val="222222"/>
                <w:sz w:val="22"/>
                <w:szCs w:val="22"/>
              </w:rPr>
              <w:t xml:space="preserve">React Native (with Expo)</w:t>
            </w:r>
          </w:p>
        </w:tc>
        <w:tc>
          <w:tcPr>
            <w:tcMar>
              <w:top w:type="dxa" w:w="90"/>
              <w:left w:type="dxa" w:w="120"/>
              <w:bottom w:type="dxa" w:w="90"/>
              <w:right w:type="dxa" w:w="120"/>
            </w:tcMar>
            <w:vAlign w:val="center"/>
          </w:tcPr>
          <w:p>
            <w:r>
              <w:rPr>
                <w:color w:val="222222"/>
                <w:sz w:val="22"/>
                <w:szCs w:val="22"/>
              </w:rPr>
              <w:t xml:space="preserve">Single codebase for iOS and Android; large ecosystem; fast iteration for a PBL timeline</w:t>
            </w:r>
          </w:p>
        </w:tc>
      </w:tr>
      <w:tr>
        <w:tc>
          <w:tcPr>
            <w:shd w:fill="F7F9FA" w:color="auto" w:val="clear"/>
            <w:tcMar>
              <w:top w:type="dxa" w:w="90"/>
              <w:left w:type="dxa" w:w="120"/>
              <w:bottom w:type="dxa" w:w="90"/>
              <w:right w:type="dxa" w:w="120"/>
            </w:tcMar>
            <w:vAlign w:val="center"/>
          </w:tcPr>
          <w:p>
            <w:r>
              <w:rPr>
                <w:color w:val="222222"/>
                <w:sz w:val="22"/>
                <w:szCs w:val="22"/>
              </w:rPr>
              <w:t xml:space="preserve">Language</w:t>
            </w:r>
          </w:p>
        </w:tc>
        <w:tc>
          <w:tcPr>
            <w:shd w:fill="F7F9FA" w:color="auto" w:val="clear"/>
            <w:tcMar>
              <w:top w:type="dxa" w:w="90"/>
              <w:left w:type="dxa" w:w="120"/>
              <w:bottom w:type="dxa" w:w="90"/>
              <w:right w:type="dxa" w:w="120"/>
            </w:tcMar>
            <w:vAlign w:val="center"/>
          </w:tcPr>
          <w:p>
            <w:r>
              <w:rPr>
                <w:color w:val="222222"/>
                <w:sz w:val="22"/>
                <w:szCs w:val="22"/>
              </w:rPr>
              <w:t xml:space="preserve">TypeScript</w:t>
            </w:r>
          </w:p>
        </w:tc>
        <w:tc>
          <w:tcPr>
            <w:shd w:fill="F7F9FA" w:color="auto" w:val="clear"/>
            <w:tcMar>
              <w:top w:type="dxa" w:w="90"/>
              <w:left w:type="dxa" w:w="120"/>
              <w:bottom w:type="dxa" w:w="90"/>
              <w:right w:type="dxa" w:w="120"/>
            </w:tcMar>
            <w:vAlign w:val="center"/>
          </w:tcPr>
          <w:p>
            <w:r>
              <w:rPr>
                <w:color w:val="222222"/>
                <w:sz w:val="22"/>
                <w:szCs w:val="22"/>
              </w:rPr>
              <w:t xml:space="preserve">Type safety across a large, multi-module codebase</w:t>
            </w:r>
          </w:p>
        </w:tc>
      </w:tr>
      <w:tr>
        <w:tc>
          <w:tcPr>
            <w:tcMar>
              <w:top w:type="dxa" w:w="90"/>
              <w:left w:type="dxa" w:w="120"/>
              <w:bottom w:type="dxa" w:w="90"/>
              <w:right w:type="dxa" w:w="120"/>
            </w:tcMar>
            <w:vAlign w:val="center"/>
          </w:tcPr>
          <w:p>
            <w:r>
              <w:rPr>
                <w:color w:val="222222"/>
                <w:sz w:val="22"/>
                <w:szCs w:val="22"/>
              </w:rPr>
              <w:t xml:space="preserve">Navigation</w:t>
            </w:r>
          </w:p>
        </w:tc>
        <w:tc>
          <w:tcPr>
            <w:tcMar>
              <w:top w:type="dxa" w:w="90"/>
              <w:left w:type="dxa" w:w="120"/>
              <w:bottom w:type="dxa" w:w="90"/>
              <w:right w:type="dxa" w:w="120"/>
            </w:tcMar>
            <w:vAlign w:val="center"/>
          </w:tcPr>
          <w:p>
            <w:r>
              <w:rPr>
                <w:color w:val="222222"/>
                <w:sz w:val="22"/>
                <w:szCs w:val="22"/>
              </w:rPr>
              <w:t xml:space="preserve">React Navigation</w:t>
            </w:r>
          </w:p>
        </w:tc>
        <w:tc>
          <w:tcPr>
            <w:tcMar>
              <w:top w:type="dxa" w:w="90"/>
              <w:left w:type="dxa" w:w="120"/>
              <w:bottom w:type="dxa" w:w="90"/>
              <w:right w:type="dxa" w:w="120"/>
            </w:tcMar>
            <w:vAlign w:val="center"/>
          </w:tcPr>
          <w:p>
            <w:r>
              <w:rPr>
                <w:color w:val="222222"/>
                <w:sz w:val="22"/>
                <w:szCs w:val="22"/>
              </w:rPr>
              <w:t xml:space="preserve">Standard, well-supported routing for tab/stack-based mobile UX</w:t>
            </w:r>
          </w:p>
        </w:tc>
      </w:tr>
      <w:tr>
        <w:tc>
          <w:tcPr>
            <w:shd w:fill="F7F9FA" w:color="auto" w:val="clear"/>
            <w:tcMar>
              <w:top w:type="dxa" w:w="90"/>
              <w:left w:type="dxa" w:w="120"/>
              <w:bottom w:type="dxa" w:w="90"/>
              <w:right w:type="dxa" w:w="120"/>
            </w:tcMar>
            <w:vAlign w:val="center"/>
          </w:tcPr>
          <w:p>
            <w:r>
              <w:rPr>
                <w:color w:val="222222"/>
                <w:sz w:val="22"/>
                <w:szCs w:val="22"/>
              </w:rPr>
              <w:t xml:space="preserve">Local database</w:t>
            </w:r>
          </w:p>
        </w:tc>
        <w:tc>
          <w:tcPr>
            <w:shd w:fill="F7F9FA" w:color="auto" w:val="clear"/>
            <w:tcMar>
              <w:top w:type="dxa" w:w="90"/>
              <w:left w:type="dxa" w:w="120"/>
              <w:bottom w:type="dxa" w:w="90"/>
              <w:right w:type="dxa" w:w="120"/>
            </w:tcMar>
            <w:vAlign w:val="center"/>
          </w:tcPr>
          <w:p>
            <w:r>
              <w:rPr>
                <w:color w:val="222222"/>
                <w:sz w:val="22"/>
                <w:szCs w:val="22"/>
              </w:rPr>
              <w:t xml:space="preserve">SQLite via WatermelonDB or Realm</w:t>
            </w:r>
          </w:p>
        </w:tc>
        <w:tc>
          <w:tcPr>
            <w:shd w:fill="F7F9FA" w:color="auto" w:val="clear"/>
            <w:tcMar>
              <w:top w:type="dxa" w:w="90"/>
              <w:left w:type="dxa" w:w="120"/>
              <w:bottom w:type="dxa" w:w="90"/>
              <w:right w:type="dxa" w:w="120"/>
            </w:tcMar>
            <w:vAlign w:val="center"/>
          </w:tcPr>
          <w:p>
            <w:r>
              <w:rPr>
                <w:color w:val="222222"/>
                <w:sz w:val="22"/>
                <w:szCs w:val="22"/>
              </w:rPr>
              <w:t xml:space="preserve">Offline-first storage with efficient sync and large-dataset performance</w:t>
            </w:r>
          </w:p>
        </w:tc>
      </w:tr>
      <w:tr>
        <w:tc>
          <w:tcPr>
            <w:tcMar>
              <w:top w:type="dxa" w:w="90"/>
              <w:left w:type="dxa" w:w="120"/>
              <w:bottom w:type="dxa" w:w="90"/>
              <w:right w:type="dxa" w:w="120"/>
            </w:tcMar>
            <w:vAlign w:val="center"/>
          </w:tcPr>
          <w:p>
            <w:r>
              <w:rPr>
                <w:color w:val="222222"/>
                <w:sz w:val="22"/>
                <w:szCs w:val="22"/>
              </w:rPr>
              <w:t xml:space="preserve">State management</w:t>
            </w:r>
          </w:p>
        </w:tc>
        <w:tc>
          <w:tcPr>
            <w:tcMar>
              <w:top w:type="dxa" w:w="90"/>
              <w:left w:type="dxa" w:w="120"/>
              <w:bottom w:type="dxa" w:w="90"/>
              <w:right w:type="dxa" w:w="120"/>
            </w:tcMar>
            <w:vAlign w:val="center"/>
          </w:tcPr>
          <w:p>
            <w:r>
              <w:rPr>
                <w:color w:val="222222"/>
                <w:sz w:val="22"/>
                <w:szCs w:val="22"/>
              </w:rPr>
              <w:t xml:space="preserve">React Query + Zustand</w:t>
            </w:r>
          </w:p>
        </w:tc>
        <w:tc>
          <w:tcPr>
            <w:tcMar>
              <w:top w:type="dxa" w:w="90"/>
              <w:left w:type="dxa" w:w="120"/>
              <w:bottom w:type="dxa" w:w="90"/>
              <w:right w:type="dxa" w:w="120"/>
            </w:tcMar>
            <w:vAlign w:val="center"/>
          </w:tcPr>
          <w:p>
            <w:r>
              <w:rPr>
                <w:color w:val="222222"/>
                <w:sz w:val="22"/>
                <w:szCs w:val="22"/>
              </w:rPr>
              <w:t xml:space="preserve">Server-state caching/sync + minimal local UI state boilerplate</w:t>
            </w:r>
          </w:p>
        </w:tc>
      </w:tr>
      <w:tr>
        <w:tc>
          <w:tcPr>
            <w:shd w:fill="F7F9FA" w:color="auto" w:val="clear"/>
            <w:tcMar>
              <w:top w:type="dxa" w:w="90"/>
              <w:left w:type="dxa" w:w="120"/>
              <w:bottom w:type="dxa" w:w="90"/>
              <w:right w:type="dxa" w:w="120"/>
            </w:tcMar>
            <w:vAlign w:val="center"/>
          </w:tcPr>
          <w:p>
            <w:r>
              <w:rPr>
                <w:color w:val="222222"/>
                <w:sz w:val="22"/>
                <w:szCs w:val="22"/>
              </w:rPr>
              <w:t xml:space="preserve">Charts/visualization</w:t>
            </w:r>
          </w:p>
        </w:tc>
        <w:tc>
          <w:tcPr>
            <w:shd w:fill="F7F9FA" w:color="auto" w:val="clear"/>
            <w:tcMar>
              <w:top w:type="dxa" w:w="90"/>
              <w:left w:type="dxa" w:w="120"/>
              <w:bottom w:type="dxa" w:w="90"/>
              <w:right w:type="dxa" w:w="120"/>
            </w:tcMar>
            <w:vAlign w:val="center"/>
          </w:tcPr>
          <w:p>
            <w:r>
              <w:rPr>
                <w:color w:val="222222"/>
                <w:sz w:val="22"/>
                <w:szCs w:val="22"/>
              </w:rPr>
              <w:t xml:space="preserve">Victory Native / react-native-svg-charts</w:t>
            </w:r>
          </w:p>
        </w:tc>
        <w:tc>
          <w:tcPr>
            <w:shd w:fill="F7F9FA" w:color="auto" w:val="clear"/>
            <w:tcMar>
              <w:top w:type="dxa" w:w="90"/>
              <w:left w:type="dxa" w:w="120"/>
              <w:bottom w:type="dxa" w:w="90"/>
              <w:right w:type="dxa" w:w="120"/>
            </w:tcMar>
            <w:vAlign w:val="center"/>
          </w:tcPr>
          <w:p>
            <w:r>
              <w:rPr>
                <w:color w:val="222222"/>
                <w:sz w:val="22"/>
                <w:szCs w:val="22"/>
              </w:rPr>
              <w:t xml:space="preserve">Finance summaries, macro breakdowns, habit heatmaps on mobile</w:t>
            </w:r>
          </w:p>
        </w:tc>
      </w:tr>
      <w:tr>
        <w:tc>
          <w:tcPr>
            <w:tcMar>
              <w:top w:type="dxa" w:w="90"/>
              <w:left w:type="dxa" w:w="120"/>
              <w:bottom w:type="dxa" w:w="90"/>
              <w:right w:type="dxa" w:w="120"/>
            </w:tcMar>
            <w:vAlign w:val="center"/>
          </w:tcPr>
          <w:p>
            <w:r>
              <w:rPr>
                <w:color w:val="222222"/>
                <w:sz w:val="22"/>
                <w:szCs w:val="22"/>
              </w:rPr>
              <w:t xml:space="preserve">Push notifications</w:t>
            </w:r>
          </w:p>
        </w:tc>
        <w:tc>
          <w:tcPr>
            <w:tcMar>
              <w:top w:type="dxa" w:w="90"/>
              <w:left w:type="dxa" w:w="120"/>
              <w:bottom w:type="dxa" w:w="90"/>
              <w:right w:type="dxa" w:w="120"/>
            </w:tcMar>
            <w:vAlign w:val="center"/>
          </w:tcPr>
          <w:p>
            <w:r>
              <w:rPr>
                <w:color w:val="222222"/>
                <w:sz w:val="22"/>
                <w:szCs w:val="22"/>
              </w:rPr>
              <w:t xml:space="preserve">Expo Notifications / FCM + APNs</w:t>
            </w:r>
          </w:p>
        </w:tc>
        <w:tc>
          <w:tcPr>
            <w:tcMar>
              <w:top w:type="dxa" w:w="90"/>
              <w:left w:type="dxa" w:w="120"/>
              <w:bottom w:type="dxa" w:w="90"/>
              <w:right w:type="dxa" w:w="120"/>
            </w:tcMar>
            <w:vAlign w:val="center"/>
          </w:tcPr>
          <w:p>
            <w:r>
              <w:rPr>
                <w:color w:val="222222"/>
                <w:sz w:val="22"/>
                <w:szCs w:val="22"/>
              </w:rPr>
              <w:t xml:space="preserve">Native reminders for habits, bills, calendar deadlines</w:t>
            </w:r>
          </w:p>
        </w:tc>
      </w:tr>
      <w:tr>
        <w:tc>
          <w:tcPr>
            <w:shd w:fill="F7F9FA" w:color="auto" w:val="clear"/>
            <w:tcMar>
              <w:top w:type="dxa" w:w="90"/>
              <w:left w:type="dxa" w:w="120"/>
              <w:bottom w:type="dxa" w:w="90"/>
              <w:right w:type="dxa" w:w="120"/>
            </w:tcMar>
            <w:vAlign w:val="center"/>
          </w:tcPr>
          <w:p>
            <w:r>
              <w:rPr>
                <w:color w:val="222222"/>
                <w:sz w:val="22"/>
                <w:szCs w:val="22"/>
              </w:rPr>
              <w:t xml:space="preserve">Secure local storage</w:t>
            </w:r>
          </w:p>
        </w:tc>
        <w:tc>
          <w:tcPr>
            <w:shd w:fill="F7F9FA" w:color="auto" w:val="clear"/>
            <w:tcMar>
              <w:top w:type="dxa" w:w="90"/>
              <w:left w:type="dxa" w:w="120"/>
              <w:bottom w:type="dxa" w:w="90"/>
              <w:right w:type="dxa" w:w="120"/>
            </w:tcMar>
            <w:vAlign w:val="center"/>
          </w:tcPr>
          <w:p>
            <w:r>
              <w:rPr>
                <w:color w:val="222222"/>
                <w:sz w:val="22"/>
                <w:szCs w:val="22"/>
              </w:rPr>
              <w:t xml:space="preserve">Expo SecureStore (iOS Keychain / Android Keystore)</w:t>
            </w:r>
          </w:p>
        </w:tc>
        <w:tc>
          <w:tcPr>
            <w:shd w:fill="F7F9FA" w:color="auto" w:val="clear"/>
            <w:tcMar>
              <w:top w:type="dxa" w:w="90"/>
              <w:left w:type="dxa" w:w="120"/>
              <w:bottom w:type="dxa" w:w="90"/>
              <w:right w:type="dxa" w:w="120"/>
            </w:tcMar>
            <w:vAlign w:val="center"/>
          </w:tcPr>
          <w:p>
            <w:r>
              <w:rPr>
                <w:color w:val="222222"/>
                <w:sz w:val="22"/>
                <w:szCs w:val="22"/>
              </w:rPr>
              <w:t xml:space="preserve">Hardware-backed storage for derived encryption keys and tokens</w:t>
            </w:r>
          </w:p>
        </w:tc>
      </w:tr>
    </w:tbl>
    <w:p>
      <w:pPr>
        <w:spacing w:after="160"/>
      </w:pPr>
    </w:p>
    <w:p>
      <w:pPr>
        <w:pStyle w:val="Heading2"/>
        <w:spacing w:after="140" w:before="280"/>
      </w:pPr>
      <w:r>
        <w:rPr>
          <w:b/>
          <w:bCs/>
          <w:color w:val="2E6F8E"/>
          <w:sz w:val="24"/>
          <w:szCs w:val="24"/>
        </w:rPr>
        <w:t xml:space="preserve">3.2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4680"/>
      </w:tblGrid>
      <w:tr>
        <w:trPr>
          <w:tblHeader/>
        </w:trPr>
        <w:tc>
          <w:tcPr>
            <w:shd w:fill="1F3A5F" w:color="auto" w:val="clear"/>
            <w:tcMar>
              <w:top w:type="dxa" w:w="100"/>
              <w:left w:type="dxa" w:w="120"/>
              <w:bottom w:type="dxa" w:w="100"/>
              <w:right w:type="dxa" w:w="120"/>
            </w:tcMar>
            <w:vAlign w:val="center"/>
          </w:tcPr>
          <w:p>
            <w:r>
              <w:rPr>
                <w:b/>
                <w:bCs/>
                <w:color w:val="FFFFFF"/>
                <w:sz w:val="20"/>
                <w:szCs w:val="20"/>
              </w:rPr>
              <w:t xml:space="preserve">Layer</w:t>
            </w:r>
          </w:p>
        </w:tc>
        <w:tc>
          <w:tcPr>
            <w:shd w:fill="1F3A5F" w:color="auto" w:val="clear"/>
            <w:tcMar>
              <w:top w:type="dxa" w:w="100"/>
              <w:left w:type="dxa" w:w="120"/>
              <w:bottom w:type="dxa" w:w="100"/>
              <w:right w:type="dxa" w:w="120"/>
            </w:tcMar>
            <w:vAlign w:val="center"/>
          </w:tcPr>
          <w:p>
            <w:r>
              <w:rPr>
                <w:b/>
                <w:bCs/>
                <w:color w:val="FFFFFF"/>
                <w:sz w:val="20"/>
                <w:szCs w:val="20"/>
              </w:rPr>
              <w:t xml:space="preserve">Technology</w:t>
            </w:r>
          </w:p>
        </w:tc>
        <w:tc>
          <w:tcPr>
            <w:shd w:fill="1F3A5F" w:color="auto" w:val="clear"/>
            <w:tcMar>
              <w:top w:type="dxa" w:w="100"/>
              <w:left w:type="dxa" w:w="120"/>
              <w:bottom w:type="dxa" w:w="100"/>
              <w:right w:type="dxa" w:w="120"/>
            </w:tcMar>
            <w:vAlign w:val="center"/>
          </w:tcPr>
          <w:p>
            <w:r>
              <w:rPr>
                <w:b/>
                <w:bCs/>
                <w:color w:val="FFFFFF"/>
                <w:sz w:val="20"/>
                <w:szCs w:val="20"/>
              </w:rPr>
              <w:t xml:space="preserve">Justification</w:t>
            </w:r>
          </w:p>
        </w:tc>
      </w:tr>
      <w:tr>
        <w:tc>
          <w:tcPr>
            <w:tcMar>
              <w:top w:type="dxa" w:w="90"/>
              <w:left w:type="dxa" w:w="120"/>
              <w:bottom w:type="dxa" w:w="90"/>
              <w:right w:type="dxa" w:w="120"/>
            </w:tcMar>
            <w:vAlign w:val="center"/>
          </w:tcPr>
          <w:p>
            <w:r>
              <w:rPr>
                <w:color w:val="222222"/>
                <w:sz w:val="22"/>
                <w:szCs w:val="22"/>
              </w:rPr>
              <w:t xml:space="preserve">Runtime</w:t>
            </w:r>
          </w:p>
        </w:tc>
        <w:tc>
          <w:tcPr>
            <w:tcMar>
              <w:top w:type="dxa" w:w="90"/>
              <w:left w:type="dxa" w:w="120"/>
              <w:bottom w:type="dxa" w:w="90"/>
              <w:right w:type="dxa" w:w="120"/>
            </w:tcMar>
            <w:vAlign w:val="center"/>
          </w:tcPr>
          <w:p>
            <w:r>
              <w:rPr>
                <w:color w:val="222222"/>
                <w:sz w:val="22"/>
                <w:szCs w:val="22"/>
              </w:rPr>
              <w:t xml:space="preserve">Node.js (Fastify) or Python (FastAPI)</w:t>
            </w:r>
          </w:p>
        </w:tc>
        <w:tc>
          <w:tcPr>
            <w:tcMar>
              <w:top w:type="dxa" w:w="90"/>
              <w:left w:type="dxa" w:w="120"/>
              <w:bottom w:type="dxa" w:w="90"/>
              <w:right w:type="dxa" w:w="120"/>
            </w:tcMar>
            <w:vAlign w:val="center"/>
          </w:tcPr>
          <w:p>
            <w:r>
              <w:rPr>
                <w:color w:val="222222"/>
                <w:sz w:val="22"/>
                <w:szCs w:val="22"/>
              </w:rPr>
              <w:t xml:space="preserve">Mature ecosystem, async I/O suited to API-heavy, integration-heavy workloads</w:t>
            </w:r>
          </w:p>
        </w:tc>
      </w:tr>
      <w:tr>
        <w:tc>
          <w:tcPr>
            <w:shd w:fill="F7F9FA" w:color="auto" w:val="clear"/>
            <w:tcMar>
              <w:top w:type="dxa" w:w="90"/>
              <w:left w:type="dxa" w:w="120"/>
              <w:bottom w:type="dxa" w:w="90"/>
              <w:right w:type="dxa" w:w="120"/>
            </w:tcMar>
            <w:vAlign w:val="center"/>
          </w:tcPr>
          <w:p>
            <w:r>
              <w:rPr>
                <w:color w:val="222222"/>
                <w:sz w:val="22"/>
                <w:szCs w:val="22"/>
              </w:rPr>
              <w:t xml:space="preserve">API style</w:t>
            </w:r>
          </w:p>
        </w:tc>
        <w:tc>
          <w:tcPr>
            <w:shd w:fill="F7F9FA" w:color="auto" w:val="clear"/>
            <w:tcMar>
              <w:top w:type="dxa" w:w="90"/>
              <w:left w:type="dxa" w:w="120"/>
              <w:bottom w:type="dxa" w:w="90"/>
              <w:right w:type="dxa" w:w="120"/>
            </w:tcMar>
            <w:vAlign w:val="center"/>
          </w:tcPr>
          <w:p>
            <w:r>
              <w:rPr>
                <w:color w:val="222222"/>
                <w:sz w:val="22"/>
                <w:szCs w:val="22"/>
              </w:rPr>
              <w:t xml:space="preserve">REST (OpenAPI-documented)</w:t>
            </w:r>
          </w:p>
        </w:tc>
        <w:tc>
          <w:tcPr>
            <w:shd w:fill="F7F9FA" w:color="auto" w:val="clear"/>
            <w:tcMar>
              <w:top w:type="dxa" w:w="90"/>
              <w:left w:type="dxa" w:w="120"/>
              <w:bottom w:type="dxa" w:w="90"/>
              <w:right w:type="dxa" w:w="120"/>
            </w:tcMar>
            <w:vAlign w:val="center"/>
          </w:tcPr>
          <w:p>
            <w:r>
              <w:rPr>
                <w:color w:val="222222"/>
                <w:sz w:val="22"/>
                <w:szCs w:val="22"/>
              </w:rPr>
              <w:t xml:space="preserve">Simplicity and tooling maturity; consumed by mobile client and future web dashboard</w:t>
            </w:r>
          </w:p>
        </w:tc>
      </w:tr>
      <w:tr>
        <w:tc>
          <w:tcPr>
            <w:tcMar>
              <w:top w:type="dxa" w:w="90"/>
              <w:left w:type="dxa" w:w="120"/>
              <w:bottom w:type="dxa" w:w="90"/>
              <w:right w:type="dxa" w:w="120"/>
            </w:tcMar>
            <w:vAlign w:val="center"/>
          </w:tcPr>
          <w:p>
            <w:r>
              <w:rPr>
                <w:color w:val="222222"/>
                <w:sz w:val="22"/>
                <w:szCs w:val="22"/>
              </w:rPr>
              <w:t xml:space="preserve">Auth</w:t>
            </w:r>
          </w:p>
        </w:tc>
        <w:tc>
          <w:tcPr>
            <w:tcMar>
              <w:top w:type="dxa" w:w="90"/>
              <w:left w:type="dxa" w:w="120"/>
              <w:bottom w:type="dxa" w:w="90"/>
              <w:right w:type="dxa" w:w="120"/>
            </w:tcMar>
            <w:vAlign w:val="center"/>
          </w:tcPr>
          <w:p>
            <w:r>
              <w:rPr>
                <w:color w:val="222222"/>
                <w:sz w:val="22"/>
                <w:szCs w:val="22"/>
              </w:rPr>
              <w:t xml:space="preserve">JWT + OAuth2 (Google, Microsoft, Fitbit)</w:t>
            </w:r>
          </w:p>
        </w:tc>
        <w:tc>
          <w:tcPr>
            <w:tcMar>
              <w:top w:type="dxa" w:w="90"/>
              <w:left w:type="dxa" w:w="120"/>
              <w:bottom w:type="dxa" w:w="90"/>
              <w:right w:type="dxa" w:w="120"/>
            </w:tcMar>
            <w:vAlign w:val="center"/>
          </w:tcPr>
          <w:p>
            <w:r>
              <w:rPr>
                <w:color w:val="222222"/>
                <w:sz w:val="22"/>
                <w:szCs w:val="22"/>
              </w:rPr>
              <w:t xml:space="preserve">Stateless auth for the app; OAuth2 required for wearable and email integrations</w:t>
            </w:r>
          </w:p>
        </w:tc>
      </w:tr>
      <w:tr>
        <w:tc>
          <w:tcPr>
            <w:shd w:fill="F7F9FA" w:color="auto" w:val="clear"/>
            <w:tcMar>
              <w:top w:type="dxa" w:w="90"/>
              <w:left w:type="dxa" w:w="120"/>
              <w:bottom w:type="dxa" w:w="90"/>
              <w:right w:type="dxa" w:w="120"/>
            </w:tcMar>
            <w:vAlign w:val="center"/>
          </w:tcPr>
          <w:p>
            <w:r>
              <w:rPr>
                <w:color w:val="222222"/>
                <w:sz w:val="22"/>
                <w:szCs w:val="22"/>
              </w:rPr>
              <w:t xml:space="preserve">Background jobs</w:t>
            </w:r>
          </w:p>
        </w:tc>
        <w:tc>
          <w:tcPr>
            <w:shd w:fill="F7F9FA" w:color="auto" w:val="clear"/>
            <w:tcMar>
              <w:top w:type="dxa" w:w="90"/>
              <w:left w:type="dxa" w:w="120"/>
              <w:bottom w:type="dxa" w:w="90"/>
              <w:right w:type="dxa" w:w="120"/>
            </w:tcMar>
            <w:vAlign w:val="center"/>
          </w:tcPr>
          <w:p>
            <w:r>
              <w:rPr>
                <w:color w:val="222222"/>
                <w:sz w:val="22"/>
                <w:szCs w:val="22"/>
              </w:rPr>
              <w:t xml:space="preserve">BullMQ (Redis-backed) / Celery</w:t>
            </w:r>
          </w:p>
        </w:tc>
        <w:tc>
          <w:tcPr>
            <w:shd w:fill="F7F9FA" w:color="auto" w:val="clear"/>
            <w:tcMar>
              <w:top w:type="dxa" w:w="90"/>
              <w:left w:type="dxa" w:w="120"/>
              <w:bottom w:type="dxa" w:w="90"/>
              <w:right w:type="dxa" w:w="120"/>
            </w:tcMar>
            <w:vAlign w:val="center"/>
          </w:tcPr>
          <w:p>
            <w:r>
              <w:rPr>
                <w:color w:val="222222"/>
                <w:sz w:val="22"/>
                <w:szCs w:val="22"/>
              </w:rPr>
              <w:t xml:space="preserve">Async processing for email polling, NLP event extraction, and wearable data sync</w:t>
            </w:r>
          </w:p>
        </w:tc>
      </w:tr>
      <w:tr>
        <w:tc>
          <w:tcPr>
            <w:tcMar>
              <w:top w:type="dxa" w:w="90"/>
              <w:left w:type="dxa" w:w="120"/>
              <w:bottom w:type="dxa" w:w="90"/>
              <w:right w:type="dxa" w:w="120"/>
            </w:tcMar>
            <w:vAlign w:val="center"/>
          </w:tcPr>
          <w:p>
            <w:r>
              <w:rPr>
                <w:color w:val="222222"/>
                <w:sz w:val="22"/>
                <w:szCs w:val="22"/>
              </w:rPr>
              <w:t xml:space="preserve">Validation</w:t>
            </w:r>
          </w:p>
        </w:tc>
        <w:tc>
          <w:tcPr>
            <w:tcMar>
              <w:top w:type="dxa" w:w="90"/>
              <w:left w:type="dxa" w:w="120"/>
              <w:bottom w:type="dxa" w:w="90"/>
              <w:right w:type="dxa" w:w="120"/>
            </w:tcMar>
            <w:vAlign w:val="center"/>
          </w:tcPr>
          <w:p>
            <w:r>
              <w:rPr>
                <w:color w:val="222222"/>
                <w:sz w:val="22"/>
                <w:szCs w:val="22"/>
              </w:rPr>
              <w:t xml:space="preserve">Zod / Pydantic</w:t>
            </w:r>
          </w:p>
        </w:tc>
        <w:tc>
          <w:tcPr>
            <w:tcMar>
              <w:top w:type="dxa" w:w="90"/>
              <w:left w:type="dxa" w:w="120"/>
              <w:bottom w:type="dxa" w:w="90"/>
              <w:right w:type="dxa" w:w="120"/>
            </w:tcMar>
            <w:vAlign w:val="center"/>
          </w:tcPr>
          <w:p>
            <w:r>
              <w:rPr>
                <w:color w:val="222222"/>
                <w:sz w:val="22"/>
                <w:szCs w:val="22"/>
              </w:rPr>
              <w:t xml:space="preserve">Schema validation at API boundaries</w:t>
            </w:r>
          </w:p>
        </w:tc>
      </w:tr>
      <w:tr>
        <w:tc>
          <w:tcPr>
            <w:shd w:fill="F7F9FA" w:color="auto" w:val="clear"/>
            <w:tcMar>
              <w:top w:type="dxa" w:w="90"/>
              <w:left w:type="dxa" w:w="120"/>
              <w:bottom w:type="dxa" w:w="90"/>
              <w:right w:type="dxa" w:w="120"/>
            </w:tcMar>
            <w:vAlign w:val="center"/>
          </w:tcPr>
          <w:p>
            <w:r>
              <w:rPr>
                <w:color w:val="222222"/>
                <w:sz w:val="22"/>
                <w:szCs w:val="22"/>
              </w:rPr>
              <w:t xml:space="preserve">Sync layer</w:t>
            </w:r>
          </w:p>
        </w:tc>
        <w:tc>
          <w:tcPr>
            <w:shd w:fill="F7F9FA" w:color="auto" w:val="clear"/>
            <w:tcMar>
              <w:top w:type="dxa" w:w="90"/>
              <w:left w:type="dxa" w:w="120"/>
              <w:bottom w:type="dxa" w:w="90"/>
              <w:right w:type="dxa" w:w="120"/>
            </w:tcMar>
            <w:vAlign w:val="center"/>
          </w:tcPr>
          <w:p>
            <w:r>
              <w:rPr>
                <w:color w:val="222222"/>
                <w:sz w:val="22"/>
                <w:szCs w:val="22"/>
              </w:rPr>
              <w:t xml:space="preserve">Custom delta-sync endpoint or WatermelonDB sync protocol</w:t>
            </w:r>
          </w:p>
        </w:tc>
        <w:tc>
          <w:tcPr>
            <w:shd w:fill="F7F9FA" w:color="auto" w:val="clear"/>
            <w:tcMar>
              <w:top w:type="dxa" w:w="90"/>
              <w:left w:type="dxa" w:w="120"/>
              <w:bottom w:type="dxa" w:w="90"/>
              <w:right w:type="dxa" w:w="120"/>
            </w:tcMar>
            <w:vAlign w:val="center"/>
          </w:tcPr>
          <w:p>
            <w:r>
              <w:rPr>
                <w:color w:val="222222"/>
                <w:sz w:val="22"/>
                <w:szCs w:val="22"/>
              </w:rPr>
              <w:t xml:space="preserve">Reconciles offline mobile changes with server state</w:t>
            </w:r>
          </w:p>
        </w:tc>
      </w:tr>
    </w:tbl>
    <w:p>
      <w:pPr>
        <w:spacing w:after="160"/>
      </w:pPr>
    </w:p>
    <w:p>
      <w:pPr>
        <w:pStyle w:val="Heading2"/>
        <w:spacing w:after="140" w:before="280"/>
      </w:pPr>
      <w:r>
        <w:rPr>
          <w:b/>
          <w:bCs/>
          <w:color w:val="2E6F8E"/>
          <w:sz w:val="24"/>
          <w:szCs w:val="24"/>
        </w:rPr>
        <w:t xml:space="preserve">3.3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995"/>
        <w:gridCol w:w="4680"/>
      </w:tblGrid>
      <w:tr>
        <w:trPr>
          <w:tblHeader/>
        </w:trPr>
        <w:tc>
          <w:tcPr>
            <w:shd w:fill="1F3A5F" w:color="auto" w:val="clear"/>
            <w:tcMar>
              <w:top w:type="dxa" w:w="100"/>
              <w:left w:type="dxa" w:w="120"/>
              <w:bottom w:type="dxa" w:w="100"/>
              <w:right w:type="dxa" w:w="120"/>
            </w:tcMar>
            <w:vAlign w:val="center"/>
          </w:tcPr>
          <w:p>
            <w:r>
              <w:rPr>
                <w:b/>
                <w:bCs/>
                <w:color w:val="FFFFFF"/>
                <w:sz w:val="20"/>
                <w:szCs w:val="20"/>
              </w:rPr>
              <w:t xml:space="preserve">Component</w:t>
            </w:r>
          </w:p>
        </w:tc>
        <w:tc>
          <w:tcPr>
            <w:shd w:fill="1F3A5F" w:color="auto" w:val="clear"/>
            <w:tcMar>
              <w:top w:type="dxa" w:w="100"/>
              <w:left w:type="dxa" w:w="120"/>
              <w:bottom w:type="dxa" w:w="100"/>
              <w:right w:type="dxa" w:w="120"/>
            </w:tcMar>
            <w:vAlign w:val="center"/>
          </w:tcPr>
          <w:p>
            <w:r>
              <w:rPr>
                <w:b/>
                <w:bCs/>
                <w:color w:val="FFFFFF"/>
                <w:sz w:val="20"/>
                <w:szCs w:val="20"/>
              </w:rPr>
              <w:t xml:space="preserve">Technology</w:t>
            </w:r>
          </w:p>
        </w:tc>
        <w:tc>
          <w:tcPr>
            <w:shd w:fill="1F3A5F" w:color="auto" w:val="clear"/>
            <w:tcMar>
              <w:top w:type="dxa" w:w="100"/>
              <w:left w:type="dxa" w:w="120"/>
              <w:bottom w:type="dxa" w:w="100"/>
              <w:right w:type="dxa" w:w="120"/>
            </w:tcMar>
            <w:vAlign w:val="center"/>
          </w:tcPr>
          <w:p>
            <w:r>
              <w:rPr>
                <w:b/>
                <w:bCs/>
                <w:color w:val="FFFFFF"/>
                <w:sz w:val="20"/>
                <w:szCs w:val="20"/>
              </w:rPr>
              <w:t xml:space="preserve">Justification</w:t>
            </w:r>
          </w:p>
        </w:tc>
      </w:tr>
      <w:tr>
        <w:tc>
          <w:tcPr>
            <w:tcMar>
              <w:top w:type="dxa" w:w="90"/>
              <w:left w:type="dxa" w:w="120"/>
              <w:bottom w:type="dxa" w:w="90"/>
              <w:right w:type="dxa" w:w="120"/>
            </w:tcMar>
            <w:vAlign w:val="center"/>
          </w:tcPr>
          <w:p>
            <w:r>
              <w:rPr>
                <w:color w:val="222222"/>
                <w:sz w:val="22"/>
                <w:szCs w:val="22"/>
              </w:rPr>
              <w:t xml:space="preserve">Primary database</w:t>
            </w:r>
          </w:p>
        </w:tc>
        <w:tc>
          <w:tcPr>
            <w:tcMar>
              <w:top w:type="dxa" w:w="90"/>
              <w:left w:type="dxa" w:w="120"/>
              <w:bottom w:type="dxa" w:w="90"/>
              <w:right w:type="dxa" w:w="120"/>
            </w:tcMar>
            <w:vAlign w:val="center"/>
          </w:tcPr>
          <w:p>
            <w:r>
              <w:rPr>
                <w:color w:val="222222"/>
                <w:sz w:val="22"/>
                <w:szCs w:val="22"/>
              </w:rPr>
              <w:t xml:space="preserve">PostgreSQL</w:t>
            </w:r>
          </w:p>
        </w:tc>
        <w:tc>
          <w:tcPr>
            <w:tcMar>
              <w:top w:type="dxa" w:w="90"/>
              <w:left w:type="dxa" w:w="120"/>
              <w:bottom w:type="dxa" w:w="90"/>
              <w:right w:type="dxa" w:w="120"/>
            </w:tcMar>
            <w:vAlign w:val="center"/>
          </w:tcPr>
          <w:p>
            <w:r>
              <w:rPr>
                <w:color w:val="222222"/>
                <w:sz w:val="22"/>
                <w:szCs w:val="22"/>
              </w:rPr>
              <w:t xml:space="preserve">Relational integrity for financial and structured tracking data; JSONB support for flexible fields</w:t>
            </w:r>
          </w:p>
        </w:tc>
      </w:tr>
      <w:tr>
        <w:tc>
          <w:tcPr>
            <w:shd w:fill="F7F9FA" w:color="auto" w:val="clear"/>
            <w:tcMar>
              <w:top w:type="dxa" w:w="90"/>
              <w:left w:type="dxa" w:w="120"/>
              <w:bottom w:type="dxa" w:w="90"/>
              <w:right w:type="dxa" w:w="120"/>
            </w:tcMar>
            <w:vAlign w:val="center"/>
          </w:tcPr>
          <w:p>
            <w:r>
              <w:rPr>
                <w:color w:val="222222"/>
                <w:sz w:val="22"/>
                <w:szCs w:val="22"/>
              </w:rPr>
              <w:t xml:space="preserve">Cache / queue broker</w:t>
            </w:r>
          </w:p>
        </w:tc>
        <w:tc>
          <w:tcPr>
            <w:shd w:fill="F7F9FA" w:color="auto" w:val="clear"/>
            <w:tcMar>
              <w:top w:type="dxa" w:w="90"/>
              <w:left w:type="dxa" w:w="120"/>
              <w:bottom w:type="dxa" w:w="90"/>
              <w:right w:type="dxa" w:w="120"/>
            </w:tcMar>
            <w:vAlign w:val="center"/>
          </w:tcPr>
          <w:p>
            <w:r>
              <w:rPr>
                <w:color w:val="222222"/>
                <w:sz w:val="22"/>
                <w:szCs w:val="22"/>
              </w:rPr>
              <w:t xml:space="preserve">Redis</w:t>
            </w:r>
          </w:p>
        </w:tc>
        <w:tc>
          <w:tcPr>
            <w:shd w:fill="F7F9FA" w:color="auto" w:val="clear"/>
            <w:tcMar>
              <w:top w:type="dxa" w:w="90"/>
              <w:left w:type="dxa" w:w="120"/>
              <w:bottom w:type="dxa" w:w="90"/>
              <w:right w:type="dxa" w:w="120"/>
            </w:tcMar>
            <w:vAlign w:val="center"/>
          </w:tcPr>
          <w:p>
            <w:r>
              <w:rPr>
                <w:color w:val="222222"/>
                <w:sz w:val="22"/>
                <w:szCs w:val="22"/>
              </w:rPr>
              <w:t xml:space="preserve">Session cache, rate limiting, background job queue</w:t>
            </w:r>
          </w:p>
        </w:tc>
      </w:tr>
      <w:tr>
        <w:tc>
          <w:tcPr>
            <w:tcMar>
              <w:top w:type="dxa" w:w="90"/>
              <w:left w:type="dxa" w:w="120"/>
              <w:bottom w:type="dxa" w:w="90"/>
              <w:right w:type="dxa" w:w="120"/>
            </w:tcMar>
            <w:vAlign w:val="center"/>
          </w:tcPr>
          <w:p>
            <w:r>
              <w:rPr>
                <w:color w:val="222222"/>
                <w:sz w:val="22"/>
                <w:szCs w:val="22"/>
              </w:rPr>
              <w:t xml:space="preserve">Object storage</w:t>
            </w:r>
          </w:p>
        </w:tc>
        <w:tc>
          <w:tcPr>
            <w:tcMar>
              <w:top w:type="dxa" w:w="90"/>
              <w:left w:type="dxa" w:w="120"/>
              <w:bottom w:type="dxa" w:w="90"/>
              <w:right w:type="dxa" w:w="120"/>
            </w:tcMar>
            <w:vAlign w:val="center"/>
          </w:tcPr>
          <w:p>
            <w:r>
              <w:rPr>
                <w:color w:val="222222"/>
                <w:sz w:val="22"/>
                <w:szCs w:val="22"/>
              </w:rPr>
              <w:t xml:space="preserve">S3-compatible storage (AWS S3 / MinIO)</w:t>
            </w:r>
          </w:p>
        </w:tc>
        <w:tc>
          <w:tcPr>
            <w:tcMar>
              <w:top w:type="dxa" w:w="90"/>
              <w:left w:type="dxa" w:w="120"/>
              <w:bottom w:type="dxa" w:w="90"/>
              <w:right w:type="dxa" w:w="120"/>
            </w:tcMar>
            <w:vAlign w:val="center"/>
          </w:tcPr>
          <w:p>
            <w:r>
              <w:rPr>
                <w:color w:val="222222"/>
                <w:sz w:val="22"/>
                <w:szCs w:val="22"/>
              </w:rPr>
              <w:t xml:space="preserve">Profile images, exported reports</w:t>
            </w:r>
          </w:p>
        </w:tc>
      </w:tr>
      <w:tr>
        <w:tc>
          <w:tcPr>
            <w:shd w:fill="F7F9FA" w:color="auto" w:val="clear"/>
            <w:tcMar>
              <w:top w:type="dxa" w:w="90"/>
              <w:left w:type="dxa" w:w="120"/>
              <w:bottom w:type="dxa" w:w="90"/>
              <w:right w:type="dxa" w:w="120"/>
            </w:tcMar>
            <w:vAlign w:val="center"/>
          </w:tcPr>
          <w:p>
            <w:r>
              <w:rPr>
                <w:color w:val="222222"/>
                <w:sz w:val="22"/>
                <w:szCs w:val="22"/>
              </w:rPr>
              <w:t xml:space="preserve">ORM</w:t>
            </w:r>
          </w:p>
        </w:tc>
        <w:tc>
          <w:tcPr>
            <w:shd w:fill="F7F9FA" w:color="auto" w:val="clear"/>
            <w:tcMar>
              <w:top w:type="dxa" w:w="90"/>
              <w:left w:type="dxa" w:w="120"/>
              <w:bottom w:type="dxa" w:w="90"/>
              <w:right w:type="dxa" w:w="120"/>
            </w:tcMar>
            <w:vAlign w:val="center"/>
          </w:tcPr>
          <w:p>
            <w:r>
              <w:rPr>
                <w:color w:val="222222"/>
                <w:sz w:val="22"/>
                <w:szCs w:val="22"/>
              </w:rPr>
              <w:t xml:space="preserve">Prisma / SQLAlchemy</w:t>
            </w:r>
          </w:p>
        </w:tc>
        <w:tc>
          <w:tcPr>
            <w:shd w:fill="F7F9FA" w:color="auto" w:val="clear"/>
            <w:tcMar>
              <w:top w:type="dxa" w:w="90"/>
              <w:left w:type="dxa" w:w="120"/>
              <w:bottom w:type="dxa" w:w="90"/>
              <w:right w:type="dxa" w:w="120"/>
            </w:tcMar>
            <w:vAlign w:val="center"/>
          </w:tcPr>
          <w:p>
            <w:r>
              <w:rPr>
                <w:color w:val="222222"/>
                <w:sz w:val="22"/>
                <w:szCs w:val="22"/>
              </w:rPr>
              <w:t xml:space="preserve">Type-safe queries, migration management</w:t>
            </w:r>
          </w:p>
        </w:tc>
      </w:tr>
    </w:tbl>
    <w:p>
      <w:pPr>
        <w:spacing w:after="160"/>
      </w:pPr>
    </w:p>
    <w:p>
      <w:pPr>
        <w:pStyle w:val="Heading2"/>
        <w:spacing w:after="140" w:before="280"/>
      </w:pPr>
      <w:r>
        <w:rPr>
          <w:b/>
          <w:bCs/>
          <w:color w:val="2E6F8E"/>
          <w:sz w:val="24"/>
          <w:szCs w:val="24"/>
        </w:rPr>
        <w:t xml:space="preserve">3.4 Third-Party &amp; Native Integrations</w:t>
      </w:r>
    </w:p>
    <w:p>
      <w:pPr>
        <w:pStyle w:val="ListParagraph"/>
        <w:numPr>
          <w:ilvl w:val="0"/>
          <w:numId w:val="2"/>
        </w:numPr>
        <w:spacing w:after="90" w:line="264"/>
      </w:pPr>
      <w:r>
        <w:t>• Android device usage — Android UsageStatsManager / usage-access permission: retrieves app-level usage duration and foreground activity for phone-usage analytics.</w:t>
      </w:r>
    </w:p>
    <w:p>
      <w:pPr>
        <w:pStyle w:val="ListParagraph"/>
        <w:numPr>
          <w:ilvl w:val="0"/>
          <w:numId w:val="2"/>
        </w:numPr>
        <w:spacing w:after="90" w:line="264"/>
      </w:pPr>
      <w:r>
        <w:t>• iOS device usage — Apple Screen Time APIs (FamilyControls / DeviceActivity, subject to Apple permissions and entitlement requirements): supports permitted screen-time and app-activity reporting.</w:t>
      </w:r>
    </w:p>
    <w:p>
      <w:pPr>
        <w:pStyle w:val="ListParagraph"/>
        <w:numPr>
          <w:ilvl w:val="0"/>
          <w:numId w:val="2"/>
        </w:numPr>
        <w:spacing w:after="90" w:line="264"/>
      </w:pPr>
      <w:r>
        <w:t>• Phone usage data is treated as device-derived analytics. LifeHub requests only the platform permissions necessary for usage statistics and clearly explains what is collected before enabling the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995"/>
        <w:gridCol w:w="4118"/>
      </w:tblGrid>
      <w:tr>
        <w:trPr>
          <w:tblHeader/>
        </w:trPr>
        <w:tc>
          <w:tcPr>
            <w:shd w:fill="1F3A5F" w:color="auto" w:val="clear"/>
            <w:tcMar>
              <w:top w:type="dxa" w:w="100"/>
              <w:left w:type="dxa" w:w="120"/>
              <w:bottom w:type="dxa" w:w="100"/>
              <w:right w:type="dxa" w:w="120"/>
            </w:tcMar>
            <w:vAlign w:val="center"/>
          </w:tcPr>
          <w:p>
            <w:r>
              <w:rPr>
                <w:b/>
                <w:bCs/>
                <w:color w:val="FFFFFF"/>
                <w:sz w:val="20"/>
                <w:szCs w:val="20"/>
              </w:rPr>
              <w:t xml:space="preserve">Integration</w:t>
            </w:r>
          </w:p>
        </w:tc>
        <w:tc>
          <w:tcPr>
            <w:shd w:fill="1F3A5F" w:color="auto" w:val="clear"/>
            <w:tcMar>
              <w:top w:type="dxa" w:w="100"/>
              <w:left w:type="dxa" w:w="120"/>
              <w:bottom w:type="dxa" w:w="100"/>
              <w:right w:type="dxa" w:w="120"/>
            </w:tcMar>
            <w:vAlign w:val="center"/>
          </w:tcPr>
          <w:p>
            <w:r>
              <w:rPr>
                <w:b/>
                <w:bCs/>
                <w:color w:val="FFFFFF"/>
                <w:sz w:val="20"/>
                <w:szCs w:val="20"/>
              </w:rPr>
              <w:t xml:space="preserve">Technology</w:t>
            </w:r>
          </w:p>
        </w:tc>
        <w:tc>
          <w:tcPr>
            <w:shd w:fill="1F3A5F" w:color="auto" w:val="clear"/>
            <w:tcMar>
              <w:top w:type="dxa" w:w="100"/>
              <w:left w:type="dxa" w:w="120"/>
              <w:bottom w:type="dxa" w:w="100"/>
              <w:right w:type="dxa" w:w="120"/>
            </w:tcMar>
            <w:vAlign w:val="center"/>
          </w:tcPr>
          <w:p>
            <w:r>
              <w:rPr>
                <w:b/>
                <w:bCs/>
                <w:color w:val="FFFFFF"/>
                <w:sz w:val="20"/>
                <w:szCs w:val="20"/>
              </w:rPr>
              <w:t xml:space="preserve">Purpose</w:t>
            </w:r>
          </w:p>
        </w:tc>
      </w:tr>
      <w:tr>
        <w:tc>
          <w:tcPr>
            <w:tcMar>
              <w:top w:type="dxa" w:w="90"/>
              <w:left w:type="dxa" w:w="120"/>
              <w:bottom w:type="dxa" w:w="90"/>
              <w:right w:type="dxa" w:w="120"/>
            </w:tcMar>
            <w:vAlign w:val="center"/>
          </w:tcPr>
          <w:p>
            <w:r>
              <w:rPr>
                <w:color w:val="222222"/>
                <w:sz w:val="22"/>
                <w:szCs w:val="22"/>
              </w:rPr>
              <w:t xml:space="preserve">iOS health data</w:t>
            </w:r>
          </w:p>
        </w:tc>
        <w:tc>
          <w:tcPr>
            <w:tcMar>
              <w:top w:type="dxa" w:w="90"/>
              <w:left w:type="dxa" w:w="120"/>
              <w:bottom w:type="dxa" w:w="90"/>
              <w:right w:type="dxa" w:w="120"/>
            </w:tcMar>
            <w:vAlign w:val="center"/>
          </w:tcPr>
          <w:p>
            <w:r>
              <w:rPr>
                <w:color w:val="222222"/>
                <w:sz w:val="22"/>
                <w:szCs w:val="22"/>
              </w:rPr>
              <w:t xml:space="preserve">Apple HealthKit</w:t>
            </w:r>
          </w:p>
        </w:tc>
        <w:tc>
          <w:tcPr>
            <w:tcMar>
              <w:top w:type="dxa" w:w="90"/>
              <w:left w:type="dxa" w:w="120"/>
              <w:bottom w:type="dxa" w:w="90"/>
              <w:right w:type="dxa" w:w="120"/>
            </w:tcMar>
            <w:vAlign w:val="center"/>
          </w:tcPr>
          <w:p>
            <w:r>
              <w:rPr>
                <w:color w:val="222222"/>
                <w:sz w:val="22"/>
                <w:szCs w:val="22"/>
              </w:rPr>
              <w:t xml:space="preserve">Steps, heart rate, workouts, sleep from iPhone/Apple Watch</w:t>
            </w:r>
          </w:p>
        </w:tc>
      </w:tr>
      <w:tr>
        <w:tc>
          <w:tcPr>
            <w:shd w:fill="F7F9FA" w:color="auto" w:val="clear"/>
            <w:tcMar>
              <w:top w:type="dxa" w:w="90"/>
              <w:left w:type="dxa" w:w="120"/>
              <w:bottom w:type="dxa" w:w="90"/>
              <w:right w:type="dxa" w:w="120"/>
            </w:tcMar>
            <w:vAlign w:val="center"/>
          </w:tcPr>
          <w:p>
            <w:r>
              <w:rPr>
                <w:color w:val="222222"/>
                <w:sz w:val="22"/>
                <w:szCs w:val="22"/>
              </w:rPr>
              <w:t xml:space="preserve">Android health data</w:t>
            </w:r>
          </w:p>
        </w:tc>
        <w:tc>
          <w:tcPr>
            <w:shd w:fill="F7F9FA" w:color="auto" w:val="clear"/>
            <w:tcMar>
              <w:top w:type="dxa" w:w="90"/>
              <w:left w:type="dxa" w:w="120"/>
              <w:bottom w:type="dxa" w:w="90"/>
              <w:right w:type="dxa" w:w="120"/>
            </w:tcMar>
            <w:vAlign w:val="center"/>
          </w:tcPr>
          <w:p>
            <w:r>
              <w:rPr>
                <w:color w:val="222222"/>
                <w:sz w:val="22"/>
                <w:szCs w:val="22"/>
              </w:rPr>
              <w:t xml:space="preserve">Health Connect API</w:t>
            </w:r>
          </w:p>
        </w:tc>
        <w:tc>
          <w:tcPr>
            <w:shd w:fill="F7F9FA" w:color="auto" w:val="clear"/>
            <w:tcMar>
              <w:top w:type="dxa" w:w="90"/>
              <w:left w:type="dxa" w:w="120"/>
              <w:bottom w:type="dxa" w:w="90"/>
              <w:right w:type="dxa" w:w="120"/>
            </w:tcMar>
            <w:vAlign w:val="center"/>
          </w:tcPr>
          <w:p>
            <w:r>
              <w:rPr>
                <w:color w:val="222222"/>
                <w:sz w:val="22"/>
                <w:szCs w:val="22"/>
              </w:rPr>
              <w:t xml:space="preserve">Unified health/fitness data source across Android wearables</w:t>
            </w:r>
          </w:p>
        </w:tc>
      </w:tr>
      <w:tr>
        <w:tc>
          <w:tcPr>
            <w:tcMar>
              <w:top w:type="dxa" w:w="90"/>
              <w:left w:type="dxa" w:w="120"/>
              <w:bottom w:type="dxa" w:w="90"/>
              <w:right w:type="dxa" w:w="120"/>
            </w:tcMar>
            <w:vAlign w:val="center"/>
          </w:tcPr>
          <w:p>
            <w:r>
              <w:rPr>
                <w:color w:val="222222"/>
                <w:sz w:val="22"/>
                <w:szCs w:val="22"/>
              </w:rPr>
              <w:t xml:space="preserve">Cross-platform wearable (fallback)</w:t>
            </w:r>
          </w:p>
        </w:tc>
        <w:tc>
          <w:tcPr>
            <w:tcMar>
              <w:top w:type="dxa" w:w="90"/>
              <w:left w:type="dxa" w:w="120"/>
              <w:bottom w:type="dxa" w:w="90"/>
              <w:right w:type="dxa" w:w="120"/>
            </w:tcMar>
            <w:vAlign w:val="center"/>
          </w:tcPr>
          <w:p>
            <w:r>
              <w:rPr>
                <w:color w:val="222222"/>
                <w:sz w:val="22"/>
                <w:szCs w:val="22"/>
              </w:rPr>
              <w:t xml:space="preserve">Fitbit Web API / Google Fit API</w:t>
            </w:r>
          </w:p>
        </w:tc>
        <w:tc>
          <w:tcPr>
            <w:tcMar>
              <w:top w:type="dxa" w:w="90"/>
              <w:left w:type="dxa" w:w="120"/>
              <w:bottom w:type="dxa" w:w="90"/>
              <w:right w:type="dxa" w:w="120"/>
            </w:tcMar>
            <w:vAlign w:val="center"/>
          </w:tcPr>
          <w:p>
            <w:r>
              <w:rPr>
                <w:color w:val="222222"/>
                <w:sz w:val="22"/>
                <w:szCs w:val="22"/>
              </w:rPr>
              <w:t xml:space="preserve">Support for users without HealthKit/Health Connect-compatible devices</w:t>
            </w:r>
          </w:p>
        </w:tc>
      </w:tr>
      <w:tr>
        <w:tc>
          <w:tcPr>
            <w:shd w:fill="F7F9FA" w:color="auto" w:val="clear"/>
            <w:tcMar>
              <w:top w:type="dxa" w:w="90"/>
              <w:left w:type="dxa" w:w="120"/>
              <w:bottom w:type="dxa" w:w="90"/>
              <w:right w:type="dxa" w:w="120"/>
            </w:tcMar>
            <w:vAlign w:val="center"/>
          </w:tcPr>
          <w:p>
            <w:r>
              <w:rPr>
                <w:color w:val="222222"/>
                <w:sz w:val="22"/>
                <w:szCs w:val="22"/>
              </w:rPr>
              <w:t xml:space="preserve">Email — Google</w:t>
            </w:r>
          </w:p>
        </w:tc>
        <w:tc>
          <w:tcPr>
            <w:shd w:fill="F7F9FA" w:color="auto" w:val="clear"/>
            <w:tcMar>
              <w:top w:type="dxa" w:w="90"/>
              <w:left w:type="dxa" w:w="120"/>
              <w:bottom w:type="dxa" w:w="90"/>
              <w:right w:type="dxa" w:w="120"/>
            </w:tcMar>
            <w:vAlign w:val="center"/>
          </w:tcPr>
          <w:p>
            <w:r>
              <w:rPr>
                <w:color w:val="222222"/>
                <w:sz w:val="22"/>
                <w:szCs w:val="22"/>
              </w:rPr>
              <w:t xml:space="preserve">Gmail API (OAuth2)</w:t>
            </w:r>
          </w:p>
        </w:tc>
        <w:tc>
          <w:tcPr>
            <w:shd w:fill="F7F9FA" w:color="auto" w:val="clear"/>
            <w:tcMar>
              <w:top w:type="dxa" w:w="90"/>
              <w:left w:type="dxa" w:w="120"/>
              <w:bottom w:type="dxa" w:w="90"/>
              <w:right w:type="dxa" w:w="120"/>
            </w:tcMar>
            <w:vAlign w:val="center"/>
          </w:tcPr>
          <w:p>
            <w:r>
              <w:rPr>
                <w:color w:val="222222"/>
                <w:sz w:val="22"/>
                <w:szCs w:val="22"/>
              </w:rPr>
              <w:t xml:space="preserve">Read-only scoped access to detect event-related emails</w:t>
            </w:r>
          </w:p>
        </w:tc>
      </w:tr>
      <w:tr>
        <w:tc>
          <w:tcPr>
            <w:tcMar>
              <w:top w:type="dxa" w:w="90"/>
              <w:left w:type="dxa" w:w="120"/>
              <w:bottom w:type="dxa" w:w="90"/>
              <w:right w:type="dxa" w:w="120"/>
            </w:tcMar>
            <w:vAlign w:val="center"/>
          </w:tcPr>
          <w:p>
            <w:r>
              <w:rPr>
                <w:color w:val="222222"/>
                <w:sz w:val="22"/>
                <w:szCs w:val="22"/>
              </w:rPr>
              <w:t xml:space="preserve">Email — Microsoft</w:t>
            </w:r>
          </w:p>
        </w:tc>
        <w:tc>
          <w:tcPr>
            <w:tcMar>
              <w:top w:type="dxa" w:w="90"/>
              <w:left w:type="dxa" w:w="120"/>
              <w:bottom w:type="dxa" w:w="90"/>
              <w:right w:type="dxa" w:w="120"/>
            </w:tcMar>
            <w:vAlign w:val="center"/>
          </w:tcPr>
          <w:p>
            <w:r>
              <w:rPr>
                <w:color w:val="222222"/>
                <w:sz w:val="22"/>
                <w:szCs w:val="22"/>
              </w:rPr>
              <w:t xml:space="preserve">Microsoft Graph API (OAuth2)</w:t>
            </w:r>
          </w:p>
        </w:tc>
        <w:tc>
          <w:tcPr>
            <w:tcMar>
              <w:top w:type="dxa" w:w="90"/>
              <w:left w:type="dxa" w:w="120"/>
              <w:bottom w:type="dxa" w:w="90"/>
              <w:right w:type="dxa" w:w="120"/>
            </w:tcMar>
            <w:vAlign w:val="center"/>
          </w:tcPr>
          <w:p>
            <w:r>
              <w:rPr>
                <w:color w:val="222222"/>
                <w:sz w:val="22"/>
                <w:szCs w:val="22"/>
              </w:rPr>
              <w:t xml:space="preserve">Outlook mailbox event detection for non-Gmail users</w:t>
            </w:r>
          </w:p>
        </w:tc>
      </w:tr>
      <w:tr>
        <w:tc>
          <w:tcPr>
            <w:shd w:fill="F7F9FA" w:color="auto" w:val="clear"/>
            <w:tcMar>
              <w:top w:type="dxa" w:w="90"/>
              <w:left w:type="dxa" w:w="120"/>
              <w:bottom w:type="dxa" w:w="90"/>
              <w:right w:type="dxa" w:w="120"/>
            </w:tcMar>
            <w:vAlign w:val="center"/>
          </w:tcPr>
          <w:p>
            <w:r>
              <w:rPr>
                <w:color w:val="222222"/>
                <w:sz w:val="22"/>
                <w:szCs w:val="22"/>
              </w:rPr>
              <w:t xml:space="preserve">Event extraction</w:t>
            </w:r>
          </w:p>
        </w:tc>
        <w:tc>
          <w:tcPr>
            <w:shd w:fill="F7F9FA" w:color="auto" w:val="clear"/>
            <w:tcMar>
              <w:top w:type="dxa" w:w="90"/>
              <w:left w:type="dxa" w:w="120"/>
              <w:bottom w:type="dxa" w:w="90"/>
              <w:right w:type="dxa" w:w="120"/>
            </w:tcMar>
            <w:vAlign w:val="center"/>
          </w:tcPr>
          <w:p>
            <w:r>
              <w:rPr>
                <w:color w:val="222222"/>
                <w:sz w:val="22"/>
                <w:szCs w:val="22"/>
              </w:rPr>
              <w:t xml:space="preserve">NLP pipeline (regex + lightweight ML/LLM-based entity extraction)</w:t>
            </w:r>
          </w:p>
        </w:tc>
        <w:tc>
          <w:tcPr>
            <w:shd w:fill="F7F9FA" w:color="auto" w:val="clear"/>
            <w:tcMar>
              <w:top w:type="dxa" w:w="90"/>
              <w:left w:type="dxa" w:w="120"/>
              <w:bottom w:type="dxa" w:w="90"/>
              <w:right w:type="dxa" w:w="120"/>
            </w:tcMar>
            <w:vAlign w:val="center"/>
          </w:tcPr>
          <w:p>
            <w:r>
              <w:rPr>
                <w:color w:val="222222"/>
                <w:sz w:val="22"/>
                <w:szCs w:val="22"/>
              </w:rPr>
              <w:t xml:space="preserve">Parses dates, times, and locations from email text to auto-create calendar events</w:t>
            </w:r>
          </w:p>
        </w:tc>
      </w:tr>
    </w:tbl>
    <w:p>
      <w:pPr>
        <w:spacing w:after="160"/>
      </w:pPr>
    </w:p>
    <w:p>
      <w:pPr>
        <w:pStyle w:val="Heading2"/>
        <w:spacing w:after="140" w:before="280"/>
      </w:pPr>
      <w:r>
        <w:rPr>
          <w:b/>
          <w:bCs/>
          <w:color w:val="2E6F8E"/>
          <w:sz w:val="24"/>
          <w:szCs w:val="24"/>
        </w:rPr>
        <w:t xml:space="preserve">3.5 Security &amp; Cryptography</w:t>
      </w:r>
    </w:p>
    <w:p>
      <w:pPr>
        <w:pStyle w:val="ListParagraph"/>
        <w:numPr>
          <w:ilvl w:val="0"/>
          <w:numId w:val="2"/>
        </w:numPr>
        <w:spacing w:after="90" w:line="264"/>
      </w:pPr>
      <w:r>
        <w:rPr>
          <w:sz w:val="22"/>
          <w:szCs w:val="22"/>
        </w:rPr>
        <w:t xml:space="preserve">TLS 1.3 for all client-server communication</w:t>
      </w:r>
    </w:p>
    <w:p>
      <w:pPr>
        <w:pStyle w:val="ListParagraph"/>
        <w:numPr>
          <w:ilvl w:val="0"/>
          <w:numId w:val="2"/>
        </w:numPr>
        <w:spacing w:after="90" w:line="264"/>
      </w:pPr>
      <w:r>
        <w:rPr>
          <w:sz w:val="22"/>
          <w:szCs w:val="22"/>
        </w:rPr>
        <w:t xml:space="preserve">bcrypt / Argon2 for account password hashing</w:t>
      </w:r>
    </w:p>
    <w:p>
      <w:pPr>
        <w:pStyle w:val="ListParagraph"/>
        <w:numPr>
          <w:ilvl w:val="0"/>
          <w:numId w:val="2"/>
        </w:numPr>
        <w:spacing w:after="90" w:line="264"/>
      </w:pPr>
      <w:r>
        <w:rPr>
          <w:sz w:val="22"/>
          <w:szCs w:val="22"/>
        </w:rPr>
        <w:t xml:space="preserve">AES-256-GCM with PBKDF2/Argon2-derived keys for client-side encrypted notes</w:t>
      </w:r>
    </w:p>
    <w:p>
      <w:pPr>
        <w:pStyle w:val="ListParagraph"/>
        <w:numPr>
          <w:ilvl w:val="0"/>
          <w:numId w:val="2"/>
        </w:numPr>
        <w:spacing w:after="90" w:line="264"/>
      </w:pPr>
      <w:r>
        <w:rPr>
          <w:sz w:val="22"/>
          <w:szCs w:val="22"/>
        </w:rPr>
        <w:t xml:space="preserve">Hardware-backed key storage via iOS Keychain / Android Keystore (through Expo SecureStore)</w:t>
      </w:r>
    </w:p>
    <w:p>
      <w:pPr>
        <w:pStyle w:val="ListParagraph"/>
        <w:numPr>
          <w:ilvl w:val="0"/>
          <w:numId w:val="2"/>
        </w:numPr>
        <w:spacing w:after="90" w:line="264"/>
      </w:pPr>
      <w:r>
        <w:rPr>
          <w:sz w:val="22"/>
          <w:szCs w:val="22"/>
        </w:rPr>
        <w:t xml:space="preserve">OAuth2 tokens (Gmail, Microsoft, Fitbit) stored encrypted at rest, scoped to minimum required permissions, and refreshed via short-lived access tokens</w:t>
      </w:r>
    </w:p>
    <w:p>
      <w:pPr>
        <w:pStyle w:val="ListParagraph"/>
        <w:numPr>
          <w:ilvl w:val="0"/>
          <w:numId w:val="2"/>
        </w:numPr>
        <w:spacing w:after="90" w:line="264"/>
      </w:pPr>
      <w:r>
        <w:rPr>
          <w:sz w:val="22"/>
          <w:szCs w:val="22"/>
        </w:rPr>
        <w:t xml:space="preserve">Role-based access control (RBAC) at the API layer</w:t>
      </w:r>
    </w:p>
    <w:p>
      <w:pPr>
        <w:pStyle w:val="ListParagraph"/>
        <w:numPr>
          <w:ilvl w:val="0"/>
          <w:numId w:val="2"/>
        </w:numPr>
        <w:spacing w:after="90" w:line="264"/>
      </w:pPr>
      <w:r>
        <w:rPr>
          <w:sz w:val="22"/>
          <w:szCs w:val="22"/>
        </w:rPr>
        <w:t xml:space="preserve">Rate limiting and input validation to mitigate abuse and injection attacks</w:t>
      </w:r>
    </w:p>
    <w:p>
      <w:pPr>
        <w:pStyle w:val="Heading2"/>
        <w:spacing w:after="140" w:before="280"/>
      </w:pPr>
      <w:r>
        <w:rPr>
          <w:b/>
          <w:bCs/>
          <w:color w:val="2E6F8E"/>
          <w:sz w:val="24"/>
          <w:szCs w:val="24"/>
        </w:rPr>
        <w:t xml:space="preserve">3.6 DevOps &amp;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370"/>
        <w:gridCol w:w="3931"/>
      </w:tblGrid>
      <w:tr>
        <w:trPr>
          <w:tblHeader/>
        </w:trPr>
        <w:tc>
          <w:tcPr>
            <w:shd w:fill="1F3A5F" w:color="auto" w:val="clear"/>
            <w:tcMar>
              <w:top w:type="dxa" w:w="100"/>
              <w:left w:type="dxa" w:w="120"/>
              <w:bottom w:type="dxa" w:w="100"/>
              <w:right w:type="dxa" w:w="120"/>
            </w:tcMar>
            <w:vAlign w:val="center"/>
          </w:tcPr>
          <w:p>
            <w:r>
              <w:rPr>
                <w:b/>
                <w:bCs/>
                <w:color w:val="FFFFFF"/>
                <w:sz w:val="20"/>
                <w:szCs w:val="20"/>
              </w:rPr>
              <w:t xml:space="preserve">Concern</w:t>
            </w:r>
          </w:p>
        </w:tc>
        <w:tc>
          <w:tcPr>
            <w:shd w:fill="1F3A5F" w:color="auto" w:val="clear"/>
            <w:tcMar>
              <w:top w:type="dxa" w:w="100"/>
              <w:left w:type="dxa" w:w="120"/>
              <w:bottom w:type="dxa" w:w="100"/>
              <w:right w:type="dxa" w:w="120"/>
            </w:tcMar>
            <w:vAlign w:val="center"/>
          </w:tcPr>
          <w:p>
            <w:r>
              <w:rPr>
                <w:b/>
                <w:bCs/>
                <w:color w:val="FFFFFF"/>
                <w:sz w:val="20"/>
                <w:szCs w:val="20"/>
              </w:rPr>
              <w:t xml:space="preserve">Technology</w:t>
            </w:r>
          </w:p>
        </w:tc>
        <w:tc>
          <w:tcPr>
            <w:shd w:fill="1F3A5F" w:color="auto" w:val="clear"/>
            <w:tcMar>
              <w:top w:type="dxa" w:w="100"/>
              <w:left w:type="dxa" w:w="120"/>
              <w:bottom w:type="dxa" w:w="100"/>
              <w:right w:type="dxa" w:w="120"/>
            </w:tcMar>
            <w:vAlign w:val="center"/>
          </w:tcPr>
          <w:p>
            <w:r>
              <w:rPr>
                <w:b/>
                <w:bCs/>
                <w:color w:val="FFFFFF"/>
                <w:sz w:val="20"/>
                <w:szCs w:val="20"/>
              </w:rPr>
              <w:t xml:space="preserve">Justification</w:t>
            </w:r>
          </w:p>
        </w:tc>
      </w:tr>
      <w:tr>
        <w:tc>
          <w:tcPr>
            <w:tcMar>
              <w:top w:type="dxa" w:w="90"/>
              <w:left w:type="dxa" w:w="120"/>
              <w:bottom w:type="dxa" w:w="90"/>
              <w:right w:type="dxa" w:w="120"/>
            </w:tcMar>
            <w:vAlign w:val="center"/>
          </w:tcPr>
          <w:p>
            <w:r>
              <w:rPr>
                <w:color w:val="222222"/>
                <w:sz w:val="22"/>
                <w:szCs w:val="22"/>
              </w:rPr>
              <w:t xml:space="preserve">Mobile build/distribution</w:t>
            </w:r>
          </w:p>
        </w:tc>
        <w:tc>
          <w:tcPr>
            <w:tcMar>
              <w:top w:type="dxa" w:w="90"/>
              <w:left w:type="dxa" w:w="120"/>
              <w:bottom w:type="dxa" w:w="90"/>
              <w:right w:type="dxa" w:w="120"/>
            </w:tcMar>
            <w:vAlign w:val="center"/>
          </w:tcPr>
          <w:p>
            <w:r>
              <w:rPr>
                <w:color w:val="222222"/>
                <w:sz w:val="22"/>
                <w:szCs w:val="22"/>
              </w:rPr>
              <w:t xml:space="preserve">Expo Application Services (EAS Build/Submit)</w:t>
            </w:r>
          </w:p>
        </w:tc>
        <w:tc>
          <w:tcPr>
            <w:tcMar>
              <w:top w:type="dxa" w:w="90"/>
              <w:left w:type="dxa" w:w="120"/>
              <w:bottom w:type="dxa" w:w="90"/>
              <w:right w:type="dxa" w:w="120"/>
            </w:tcMar>
            <w:vAlign w:val="center"/>
          </w:tcPr>
          <w:p>
            <w:r>
              <w:rPr>
                <w:color w:val="222222"/>
                <w:sz w:val="22"/>
                <w:szCs w:val="22"/>
              </w:rPr>
              <w:t xml:space="preserve">Simplifies iOS/Android build pipelines and store submission</w:t>
            </w:r>
          </w:p>
        </w:tc>
      </w:tr>
      <w:tr>
        <w:tc>
          <w:tcPr>
            <w:shd w:fill="F7F9FA" w:color="auto" w:val="clear"/>
            <w:tcMar>
              <w:top w:type="dxa" w:w="90"/>
              <w:left w:type="dxa" w:w="120"/>
              <w:bottom w:type="dxa" w:w="90"/>
              <w:right w:type="dxa" w:w="120"/>
            </w:tcMar>
            <w:vAlign w:val="center"/>
          </w:tcPr>
          <w:p>
            <w:r>
              <w:rPr>
                <w:color w:val="222222"/>
                <w:sz w:val="22"/>
                <w:szCs w:val="22"/>
              </w:rPr>
              <w:t xml:space="preserve">Containerization (backend)</w:t>
            </w:r>
          </w:p>
        </w:tc>
        <w:tc>
          <w:tcPr>
            <w:shd w:fill="F7F9FA" w:color="auto" w:val="clear"/>
            <w:tcMar>
              <w:top w:type="dxa" w:w="90"/>
              <w:left w:type="dxa" w:w="120"/>
              <w:bottom w:type="dxa" w:w="90"/>
              <w:right w:type="dxa" w:w="120"/>
            </w:tcMar>
            <w:vAlign w:val="center"/>
          </w:tcPr>
          <w:p>
            <w:r>
              <w:rPr>
                <w:color w:val="222222"/>
                <w:sz w:val="22"/>
                <w:szCs w:val="22"/>
              </w:rPr>
              <w:t xml:space="preserve">Docker</w:t>
            </w:r>
          </w:p>
        </w:tc>
        <w:tc>
          <w:tcPr>
            <w:shd w:fill="F7F9FA" w:color="auto" w:val="clear"/>
            <w:tcMar>
              <w:top w:type="dxa" w:w="90"/>
              <w:left w:type="dxa" w:w="120"/>
              <w:bottom w:type="dxa" w:w="90"/>
              <w:right w:type="dxa" w:w="120"/>
            </w:tcMar>
            <w:vAlign w:val="center"/>
          </w:tcPr>
          <w:p>
            <w:r>
              <w:rPr>
                <w:color w:val="222222"/>
                <w:sz w:val="22"/>
                <w:szCs w:val="22"/>
              </w:rPr>
              <w:t xml:space="preserve">Environment consistency across dev/staging/prod</w:t>
            </w:r>
          </w:p>
        </w:tc>
      </w:tr>
      <w:tr>
        <w:tc>
          <w:tcPr>
            <w:tcMar>
              <w:top w:type="dxa" w:w="90"/>
              <w:left w:type="dxa" w:w="120"/>
              <w:bottom w:type="dxa" w:w="90"/>
              <w:right w:type="dxa" w:w="120"/>
            </w:tcMar>
            <w:vAlign w:val="center"/>
          </w:tcPr>
          <w:p>
            <w:r>
              <w:rPr>
                <w:color w:val="222222"/>
                <w:sz w:val="22"/>
                <w:szCs w:val="22"/>
              </w:rPr>
              <w:t xml:space="preserve">Orchestration (stretch)</w:t>
            </w:r>
          </w:p>
        </w:tc>
        <w:tc>
          <w:tcPr>
            <w:tcMar>
              <w:top w:type="dxa" w:w="90"/>
              <w:left w:type="dxa" w:w="120"/>
              <w:bottom w:type="dxa" w:w="90"/>
              <w:right w:type="dxa" w:w="120"/>
            </w:tcMar>
            <w:vAlign w:val="center"/>
          </w:tcPr>
          <w:p>
            <w:r>
              <w:rPr>
                <w:color w:val="222222"/>
                <w:sz w:val="22"/>
                <w:szCs w:val="22"/>
              </w:rPr>
              <w:t xml:space="preserve">Docker Compose → Kubernetes (future)</w:t>
            </w:r>
          </w:p>
        </w:tc>
        <w:tc>
          <w:tcPr>
            <w:tcMar>
              <w:top w:type="dxa" w:w="90"/>
              <w:left w:type="dxa" w:w="120"/>
              <w:bottom w:type="dxa" w:w="90"/>
              <w:right w:type="dxa" w:w="120"/>
            </w:tcMar>
            <w:vAlign w:val="center"/>
          </w:tcPr>
          <w:p>
            <w:r>
              <w:rPr>
                <w:color w:val="222222"/>
                <w:sz w:val="22"/>
                <w:szCs w:val="22"/>
              </w:rPr>
              <w:t xml:space="preserve">Start simple; path to horizontal scaling exists</w:t>
            </w:r>
          </w:p>
        </w:tc>
      </w:tr>
      <w:tr>
        <w:tc>
          <w:tcPr>
            <w:shd w:fill="F7F9FA" w:color="auto" w:val="clear"/>
            <w:tcMar>
              <w:top w:type="dxa" w:w="90"/>
              <w:left w:type="dxa" w:w="120"/>
              <w:bottom w:type="dxa" w:w="90"/>
              <w:right w:type="dxa" w:w="120"/>
            </w:tcMar>
            <w:vAlign w:val="center"/>
          </w:tcPr>
          <w:p>
            <w:r>
              <w:rPr>
                <w:color w:val="222222"/>
                <w:sz w:val="22"/>
                <w:szCs w:val="22"/>
              </w:rPr>
              <w:t xml:space="preserve">CI/CD</w:t>
            </w:r>
          </w:p>
        </w:tc>
        <w:tc>
          <w:tcPr>
            <w:shd w:fill="F7F9FA" w:color="auto" w:val="clear"/>
            <w:tcMar>
              <w:top w:type="dxa" w:w="90"/>
              <w:left w:type="dxa" w:w="120"/>
              <w:bottom w:type="dxa" w:w="90"/>
              <w:right w:type="dxa" w:w="120"/>
            </w:tcMar>
            <w:vAlign w:val="center"/>
          </w:tcPr>
          <w:p>
            <w:r>
              <w:rPr>
                <w:color w:val="222222"/>
                <w:sz w:val="22"/>
                <w:szCs w:val="22"/>
              </w:rPr>
              <w:t xml:space="preserve">GitHub Actions + EAS Update</w:t>
            </w:r>
          </w:p>
        </w:tc>
        <w:tc>
          <w:tcPr>
            <w:shd w:fill="F7F9FA" w:color="auto" w:val="clear"/>
            <w:tcMar>
              <w:top w:type="dxa" w:w="90"/>
              <w:left w:type="dxa" w:w="120"/>
              <w:bottom w:type="dxa" w:w="90"/>
              <w:right w:type="dxa" w:w="120"/>
            </w:tcMar>
            <w:vAlign w:val="center"/>
          </w:tcPr>
          <w:p>
            <w:r>
              <w:rPr>
                <w:color w:val="222222"/>
                <w:sz w:val="22"/>
                <w:szCs w:val="22"/>
              </w:rPr>
              <w:t xml:space="preserve">Automated backend testing/deployment and OTA mobile updates</w:t>
            </w:r>
          </w:p>
        </w:tc>
      </w:tr>
      <w:tr>
        <w:tc>
          <w:tcPr>
            <w:tcMar>
              <w:top w:type="dxa" w:w="90"/>
              <w:left w:type="dxa" w:w="120"/>
              <w:bottom w:type="dxa" w:w="90"/>
              <w:right w:type="dxa" w:w="120"/>
            </w:tcMar>
            <w:vAlign w:val="center"/>
          </w:tcPr>
          <w:p>
            <w:r>
              <w:rPr>
                <w:color w:val="222222"/>
                <w:sz w:val="22"/>
                <w:szCs w:val="22"/>
              </w:rPr>
              <w:t xml:space="preserve">Monitoring</w:t>
            </w:r>
          </w:p>
        </w:tc>
        <w:tc>
          <w:tcPr>
            <w:tcMar>
              <w:top w:type="dxa" w:w="90"/>
              <w:left w:type="dxa" w:w="120"/>
              <w:bottom w:type="dxa" w:w="90"/>
              <w:right w:type="dxa" w:w="120"/>
            </w:tcMar>
            <w:vAlign w:val="center"/>
          </w:tcPr>
          <w:p>
            <w:r>
              <w:rPr>
                <w:color w:val="222222"/>
                <w:sz w:val="22"/>
                <w:szCs w:val="22"/>
              </w:rPr>
              <w:t xml:space="preserve">Prometheus + Grafana / Sentry (mobile crash reporting)</w:t>
            </w:r>
          </w:p>
        </w:tc>
        <w:tc>
          <w:tcPr>
            <w:tcMar>
              <w:top w:type="dxa" w:w="90"/>
              <w:left w:type="dxa" w:w="120"/>
              <w:bottom w:type="dxa" w:w="90"/>
              <w:right w:type="dxa" w:w="120"/>
            </w:tcMar>
            <w:vAlign w:val="center"/>
          </w:tcPr>
          <w:p>
            <w:r>
              <w:rPr>
                <w:color w:val="222222"/>
                <w:sz w:val="22"/>
                <w:szCs w:val="22"/>
              </w:rPr>
              <w:t xml:space="preserve">Observability into backend performance and mobile app stability</w:t>
            </w:r>
          </w:p>
        </w:tc>
      </w:tr>
      <w:tr>
        <w:tc>
          <w:tcPr>
            <w:shd w:fill="F7F9FA" w:color="auto" w:val="clear"/>
            <w:tcMar>
              <w:top w:type="dxa" w:w="90"/>
              <w:left w:type="dxa" w:w="120"/>
              <w:bottom w:type="dxa" w:w="90"/>
              <w:right w:type="dxa" w:w="120"/>
            </w:tcMar>
            <w:vAlign w:val="center"/>
          </w:tcPr>
          <w:p>
            <w:r>
              <w:rPr>
                <w:color w:val="222222"/>
                <w:sz w:val="22"/>
                <w:szCs w:val="22"/>
              </w:rPr>
              <w:t xml:space="preserve">Hosting</w:t>
            </w:r>
          </w:p>
        </w:tc>
        <w:tc>
          <w:tcPr>
            <w:shd w:fill="F7F9FA" w:color="auto" w:val="clear"/>
            <w:tcMar>
              <w:top w:type="dxa" w:w="90"/>
              <w:left w:type="dxa" w:w="120"/>
              <w:bottom w:type="dxa" w:w="90"/>
              <w:right w:type="dxa" w:w="120"/>
            </w:tcMar>
            <w:vAlign w:val="center"/>
          </w:tcPr>
          <w:p>
            <w:r>
              <w:rPr>
                <w:color w:val="222222"/>
                <w:sz w:val="22"/>
                <w:szCs w:val="22"/>
              </w:rPr>
              <w:t xml:space="preserve">Railway / Render / AWS (EC2 + RDS)</w:t>
            </w:r>
          </w:p>
        </w:tc>
        <w:tc>
          <w:tcPr>
            <w:shd w:fill="F7F9FA" w:color="auto" w:val="clear"/>
            <w:tcMar>
              <w:top w:type="dxa" w:w="90"/>
              <w:left w:type="dxa" w:w="120"/>
              <w:bottom w:type="dxa" w:w="90"/>
              <w:right w:type="dxa" w:w="120"/>
            </w:tcMar>
            <w:vAlign w:val="center"/>
          </w:tcPr>
          <w:p>
            <w:r>
              <w:rPr>
                <w:color w:val="222222"/>
                <w:sz w:val="22"/>
                <w:szCs w:val="22"/>
              </w:rPr>
              <w:t xml:space="preserve">Cost-appropriate for a student project with a growth path</w:t>
            </w:r>
          </w:p>
        </w:tc>
      </w:tr>
    </w:tbl>
    <w:p>
      <w:pPr>
        <w:spacing w:after="160"/>
      </w:pPr>
    </w:p>
    <w:p>
      <w:pPr>
        <w:pStyle w:val="Heading1"/>
        <w:pBdr>
          <w:bottom w:val="single" w:color="1F3A5F" w:sz="6" w:space="4"/>
        </w:pBdr>
        <w:spacing w:after="200" w:before="400"/>
      </w:pPr>
      <w:r>
        <w:rPr>
          <w:b/>
          <w:bCs/>
          <w:color w:val="1F3A5F"/>
          <w:sz w:val="30"/>
          <w:szCs w:val="30"/>
        </w:rPr>
        <w:t xml:space="preserve">4. Module Specifications</w:t>
      </w:r>
    </w:p>
    <w:p>
      <w:pPr>
        <w:pStyle w:val="Heading2"/>
        <w:spacing w:after="140" w:before="280"/>
      </w:pPr>
      <w:r>
        <w:rPr>
          <w:b/>
          <w:bCs/>
          <w:color w:val="2E6F8E"/>
          <w:sz w:val="24"/>
          <w:szCs w:val="24"/>
        </w:rPr>
        <w:t xml:space="preserve">4.1 Core Modules</w:t>
      </w:r>
    </w:p>
    <w:p>
      <w:pPr>
        <w:pStyle w:val="ListParagraph"/>
        <w:numPr>
          <w:ilvl w:val="0"/>
          <w:numId w:val="2"/>
        </w:numPr>
        <w:spacing w:after="90" w:line="264"/>
      </w:pPr>
      <w:r>
        <w:rPr>
          <w:b/>
          <w:bCs/>
          <w:sz w:val="22"/>
          <w:szCs w:val="22"/>
        </w:rPr>
        <w:t xml:space="preserve">Auth &amp; User Management</w:t>
      </w:r>
      <w:r>
        <w:rPr>
          <w:sz w:val="22"/>
          <w:szCs w:val="22"/>
        </w:rPr>
        <w:t xml:space="preserve"> — registration, login, session/token management, profile settings</w:t>
      </w:r>
    </w:p>
    <w:p>
      <w:pPr>
        <w:pStyle w:val="ListParagraph"/>
        <w:numPr>
          <w:ilvl w:val="0"/>
          <w:numId w:val="2"/>
        </w:numPr>
        <w:spacing w:after="90" w:line="264"/>
      </w:pPr>
      <w:r>
        <w:t>Finance Tracker — transaction CRUD, categorization, recurring transactions, monthly/annual analytics, monthly budgeting, fixed monthly payments, and Autopay scheduling.</w:t>
      </w:r>
    </w:p>
    <w:p>
      <w:pPr>
        <w:pStyle w:val="ListParagraph"/>
        <w:numPr>
          <w:ilvl w:val="0"/>
          <w:numId w:val="2"/>
        </w:numPr>
        <w:spacing w:after="90" w:line="264"/>
      </w:pPr>
      <w:r>
        <w:rPr>
          <w:b/>
          <w:bCs/>
          <w:sz w:val="22"/>
          <w:szCs w:val="22"/>
        </w:rPr>
        <w:t xml:space="preserve">Fitness &amp; Nutrition Tracker</w:t>
      </w:r>
      <w:r>
        <w:rPr>
          <w:sz w:val="22"/>
          <w:szCs w:val="22"/>
        </w:rPr>
        <w:t xml:space="preserve"> — workout logging, camera-based meal recognition with automated macro/micronutrient lookup, brand-level nutrition refinement, water intake logging, and tracking against daily targets (see Section 8)</w:t>
      </w:r>
    </w:p>
    <w:p>
      <w:pPr>
        <w:pStyle w:val="ListParagraph"/>
        <w:numPr>
          <w:ilvl w:val="0"/>
          <w:numId w:val="2"/>
        </w:numPr>
        <w:spacing w:after="90" w:line="264"/>
      </w:pPr>
      <w:r>
        <w:t>Habit &amp; Routine Tracker — habit definitions, daily completion logs, streak computation, heatmap analytics, and an integrated stopwatch/timer for measuring habit, routine, workout, study, focus, or activity duration.</w:t>
      </w:r>
    </w:p>
    <w:p>
      <w:pPr>
        <w:pStyle w:val="ListParagraph"/>
        <w:numPr>
          <w:ilvl w:val="0"/>
          <w:numId w:val="2"/>
        </w:numPr>
        <w:spacing w:after="90" w:line="264"/>
      </w:pPr>
      <w:r>
        <w:t>Calendar &amp; Reminders — event CRUD, manual creation of miscellaneous trackable events, recurring events, configurable categories/tags, and native push notifications for deadlines.</w:t>
      </w:r>
    </w:p>
    <w:p>
      <w:pPr>
        <w:pStyle w:val="ListParagraph"/>
        <w:numPr>
          <w:ilvl w:val="0"/>
          <w:numId w:val="2"/>
        </w:numPr>
        <w:spacing w:after="90" w:line="264"/>
      </w:pPr>
      <w:pPr>
        <w:pStyle w:val="ListParagraph"/>
        <w:numPr>
          <w:ilvl w:val="0"/>
          <w:numId w:val="2"/>
        </w:numPr>
        <w:spacing w:after="90" w:line="264"/>
      </w:pPr>
      <w:r>
        <w:t>Phone Usage Statistics — device-derived screen-time analytics, total daily/weekly usage, app-wise usage breakdowns, category summaries, trends, and optional usage goals.</w:t>
      </w:r>
    </w:p>
    <w:p>
      <w:pPr>
        <w:pStyle w:val="Heading2"/>
        <w:spacing w:after="140" w:before="280"/>
      </w:pPr>
      <w:r>
        <w:rPr>
          <w:b/>
          <w:bCs/>
          <w:color w:val="2E6F8E"/>
          <w:sz w:val="24"/>
          <w:szCs w:val="24"/>
        </w:rPr>
        <w:t xml:space="preserve">4.2 Extended Modules</w:t>
      </w:r>
    </w:p>
    <w:p>
      <w:pPr>
        <w:pStyle w:val="ListParagraph"/>
        <w:numPr>
          <w:ilvl w:val="0"/>
          <w:numId w:val="2"/>
        </w:numPr>
        <w:spacing w:after="90" w:line="264"/>
      </w:pPr>
      <w:r>
        <w:rPr>
          <w:b/>
          <w:bCs/>
          <w:sz w:val="22"/>
          <w:szCs w:val="22"/>
        </w:rPr>
        <w:t xml:space="preserve">Journal / Notes</w:t>
      </w:r>
      <w:r>
        <w:rPr>
          <w:sz w:val="22"/>
          <w:szCs w:val="22"/>
        </w:rPr>
        <w:t xml:space="preserve"> — rich-text entries, tagging, chronological and tag-based retrieval</w:t>
      </w:r>
    </w:p>
    <w:p>
      <w:pPr>
        <w:pStyle w:val="ListParagraph"/>
        <w:numPr>
          <w:ilvl w:val="0"/>
          <w:numId w:val="2"/>
        </w:numPr>
        <w:spacing w:after="90" w:line="264"/>
      </w:pPr>
      <w:r>
        <w:rPr>
          <w:b/>
          <w:bCs/>
          <w:sz w:val="22"/>
          <w:szCs w:val="22"/>
        </w:rPr>
        <w:t xml:space="preserve">Bookmarks / Quick-Launch</w:t>
      </w:r>
      <w:r>
        <w:rPr>
          <w:sz w:val="22"/>
          <w:szCs w:val="22"/>
        </w:rPr>
        <w:t xml:space="preserve"> — categorized links to sites and applications with one-tap access</w:t>
      </w:r>
    </w:p>
    <w:p>
      <w:pPr>
        <w:pStyle w:val="ListParagraph"/>
        <w:numPr>
          <w:ilvl w:val="0"/>
          <w:numId w:val="2"/>
        </w:numPr>
        <w:spacing w:after="90" w:line="264"/>
      </w:pPr>
      <w:r>
        <w:rPr>
          <w:b/>
          <w:bCs/>
          <w:sz w:val="22"/>
          <w:szCs w:val="22"/>
        </w:rPr>
        <w:t xml:space="preserve">Encrypted Notes</w:t>
      </w:r>
      <w:r>
        <w:rPr>
          <w:sz w:val="22"/>
          <w:szCs w:val="22"/>
        </w:rPr>
        <w:t xml:space="preserve"> — zero-knowledge encrypted free-text storage (see Section 6)</w:t>
      </w:r>
    </w:p>
    <w:p>
      <w:pPr>
        <w:pStyle w:val="ListParagraph"/>
        <w:numPr>
          <w:ilvl w:val="0"/>
          <w:numId w:val="2"/>
        </w:numPr>
        <w:spacing w:after="90" w:line="264"/>
      </w:pPr>
      <w:r>
        <w:rPr>
          <w:b/>
          <w:bCs/>
          <w:sz w:val="22"/>
          <w:szCs w:val="22"/>
        </w:rPr>
        <w:t xml:space="preserve">Wearable Sync</w:t>
      </w:r>
      <w:r>
        <w:rPr>
          <w:sz w:val="22"/>
          <w:szCs w:val="22"/>
        </w:rPr>
        <w:t xml:space="preserve"> — HealthKit / Health Connect / Fitbit integration feeding the Fitness module automatically</w:t>
      </w:r>
    </w:p>
    <w:p>
      <w:pPr>
        <w:pStyle w:val="ListParagraph"/>
        <w:numPr>
          <w:ilvl w:val="0"/>
          <w:numId w:val="2"/>
        </w:numPr>
        <w:spacing w:after="90" w:line="264"/>
      </w:pPr>
      <w:r>
        <w:rPr>
          <w:b/>
          <w:bCs/>
          <w:sz w:val="22"/>
          <w:szCs w:val="22"/>
        </w:rPr>
        <w:t xml:space="preserve">Email Event Extraction</w:t>
      </w:r>
      <w:r>
        <w:rPr>
          <w:sz w:val="22"/>
          <w:szCs w:val="22"/>
        </w:rPr>
        <w:t xml:space="preserve"> — Gmail / Outlook integration that detects event-related emails and proposes calendar entries</w:t>
      </w:r>
    </w:p>
    <w:p>
      <w:pPr>
        <w:spacing w:after="160" w:line="276"/>
      </w:pPr>
      <w:r>
        <w:rPr>
          <w:sz w:val="22"/>
          <w:szCs w:val="22"/>
        </w:rPr>
        <w:t xml:space="preserve">Both external integrations (wearable sync and email event extraction) are included in the full build scope for this project. Each is treated as an independently deliverable feature so that either can ship on schedule without blocking the other — see Section 7 for sequencing.</w:t>
      </w:r>
    </w:p>
    <w:p>
      <w:pPr>
        <w:pStyle w:val="Heading2"/>
        <w:spacing w:after="140" w:before="280"/>
      </w:pPr>
      <w:r>
        <w:t>4.1.1 Monthly Budgeting &amp; Payment Management</w:t>
      </w:r>
    </w:p>
    <w:p>
      <w:pPr>
        <w:pStyle w:val="ListParagraph"/>
        <w:numPr>
          <w:ilvl w:val="0"/>
          <w:numId w:val="2"/>
        </w:numPr>
        <w:spacing w:after="90" w:line="264"/>
      </w:pPr>
      <w:r>
        <w:t>• Users can define a monthly budget for a selected month and optionally assign spending limits to individual categories.</w:t>
      </w:r>
    </w:p>
    <w:p>
      <w:pPr>
        <w:pStyle w:val="ListParagraph"/>
        <w:numPr>
          <w:ilvl w:val="0"/>
          <w:numId w:val="2"/>
        </w:numPr>
        <w:spacing w:after="90" w:line="264"/>
      </w:pPr>
      <w:r>
        <w:t>• The Finance dashboard compares the planned monthly budget against actual spending and separates fixed/committed payments from money currently available for discretionary use.</w:t>
      </w:r>
    </w:p>
    <w:p>
      <w:pPr>
        <w:pStyle w:val="ListParagraph"/>
        <w:numPr>
          <w:ilvl w:val="0"/>
          <w:numId w:val="2"/>
        </w:numPr>
        <w:spacing w:after="90" w:line="264"/>
      </w:pPr>
      <w:r>
        <w:t>• Key monthly metrics include Total Budget, Fixed/Committed Payments, Actual Spent, Actual Usable Budget, and Remaining Budget.</w:t>
      </w:r>
    </w:p>
    <w:p>
      <w:pPr>
        <w:pStyle w:val="ListParagraph"/>
        <w:numPr>
          <w:ilvl w:val="0"/>
          <w:numId w:val="2"/>
        </w:numPr>
        <w:spacing w:after="90" w:line="264"/>
      </w:pPr>
      <w:r>
        <w:t>• Actual Usable Budget = Total Budget − Fixed/Committed Payments. Remaining Budget = Actual Usable Budget − eligible actual spending recorded during the month.</w:t>
      </w:r>
    </w:p>
    <w:p>
      <w:pPr>
        <w:pStyle w:val="ListParagraph"/>
        <w:numPr>
          <w:ilvl w:val="0"/>
          <w:numId w:val="2"/>
        </w:numPr>
        <w:spacing w:after="90" w:line="264"/>
      </w:pPr>
      <w:r>
        <w:t>• Users can review category-level budget versus actual spending, identify overspending, and see remaining amounts without manually calculating them.</w:t>
      </w:r>
    </w:p>
    <w:p>
      <w:pPr>
        <w:pStyle w:val="ListParagraph"/>
        <w:numPr>
          <w:ilvl w:val="0"/>
          <w:numId w:val="2"/>
        </w:numPr>
        <w:spacing w:after="90" w:line="264"/>
      </w:pPr>
      <w:r>
        <w:t>• Budget records are month-specific and can be carried forward to a future month while remaining editable.</w:t>
      </w:r>
    </w:p>
    <w:p>
      <w:pPr>
        <w:pStyle w:val="Heading2"/>
        <w:spacing w:after="140" w:before="280"/>
      </w:pPr>
      <w:r>
        <w:t>4.1.2 Fixed Monthly Payments</w:t>
      </w:r>
    </w:p>
    <w:p>
      <w:pPr>
        <w:pStyle w:val="ListParagraph"/>
        <w:numPr>
          <w:ilvl w:val="0"/>
          <w:numId w:val="2"/>
        </w:numPr>
        <w:spacing w:after="90" w:line="264"/>
      </w:pPr>
      <w:r>
        <w:t>• Users can register recurring fixed payments such as rent, subscriptions, tuition installments, loan payments, utilities, or other predictable monthly obligations.</w:t>
      </w:r>
    </w:p>
    <w:p>
      <w:pPr>
        <w:pStyle w:val="ListParagraph"/>
        <w:numPr>
          <w:ilvl w:val="0"/>
          <w:numId w:val="2"/>
        </w:numPr>
        <w:spacing w:after="90" w:line="264"/>
      </w:pPr>
      <w:r>
        <w:t>• Each fixed payment stores its expected amount, payment name/category, due date, recurrence rule, optional payment method, and active/inactive status.</w:t>
      </w:r>
    </w:p>
    <w:p>
      <w:pPr>
        <w:pStyle w:val="ListParagraph"/>
        <w:numPr>
          <w:ilvl w:val="0"/>
          <w:numId w:val="2"/>
        </w:numPr>
        <w:spacing w:after="90" w:line="264"/>
      </w:pPr>
      <w:r>
        <w:t>• Fixed payments are automatically included in the monthly committed amount so the user can distinguish committed obligations from discretionary funds.</w:t>
      </w:r>
    </w:p>
    <w:p>
      <w:pPr>
        <w:pStyle w:val="ListParagraph"/>
        <w:numPr>
          <w:ilvl w:val="0"/>
          <w:numId w:val="2"/>
        </w:numPr>
        <w:spacing w:after="90" w:line="264"/>
      </w:pPr>
      <w:r>
        <w:t>• Future payment schedules can be edited when an expected amount or due date changes without rewriting historical payment records.</w:t>
      </w:r>
    </w:p>
    <w:p>
      <w:pPr>
        <w:pStyle w:val="Heading2"/>
        <w:spacing w:after="140" w:before="280"/>
      </w:pPr>
      <w:r>
        <w:t>4.1.3 Autopay</w:t>
      </w:r>
    </w:p>
    <w:p>
      <w:pPr>
        <w:pStyle w:val="ListParagraph"/>
        <w:numPr>
          <w:ilvl w:val="0"/>
          <w:numId w:val="2"/>
        </w:numPr>
        <w:spacing w:after="90" w:line="264"/>
      </w:pPr>
      <w:r>
        <w:t>• Users can mark a recurring payment as Autopay-enabled when the payment is automatically charged on a scheduled date.</w:t>
      </w:r>
    </w:p>
    <w:p>
      <w:pPr>
        <w:pStyle w:val="ListParagraph"/>
        <w:numPr>
          <w:ilvl w:val="0"/>
          <w:numId w:val="2"/>
        </w:numPr>
        <w:spacing w:after="90" w:line="264"/>
      </w:pPr>
      <w:r>
        <w:t>• Autopay records include the scheduled date, expected amount, recurrence, payment name, and optional payment method/reference.</w:t>
      </w:r>
    </w:p>
    <w:p>
      <w:pPr>
        <w:pStyle w:val="ListParagraph"/>
        <w:numPr>
          <w:ilvl w:val="0"/>
          <w:numId w:val="2"/>
        </w:numPr>
        <w:spacing w:after="90" w:line="264"/>
      </w:pPr>
      <w:r>
        <w:t>• In the initial scope, Autopay is a tracking, planning, and reminder feature; LifeHub does not directly initiate bank transactions unless a future banking/payment integration is added.</w:t>
      </w:r>
    </w:p>
    <w:p>
      <w:pPr>
        <w:pStyle w:val="ListParagraph"/>
        <w:numPr>
          <w:ilvl w:val="0"/>
          <w:numId w:val="2"/>
        </w:numPr>
        <w:spacing w:after="90" w:line="264"/>
      </w:pPr>
      <w:r>
        <w:t>• Upcoming Autopay dates are surfaced in the Calendar and Finance dashboard, and completed payments can be reconciled against the corresponding finance transaction.</w:t>
      </w:r>
    </w:p>
    <w:p>
      <w:pPr>
        <w:pStyle w:val="Heading2"/>
        <w:spacing w:after="140" w:before="280"/>
      </w:pPr>
      <w:r>
        <w:t>4.1.4 Finance-to-Calendar Integration</w:t>
      </w:r>
    </w:p>
    <w:p>
      <w:pPr>
        <w:pStyle w:val="ListParagraph"/>
        <w:numPr>
          <w:ilvl w:val="0"/>
          <w:numId w:val="2"/>
        </w:numPr>
        <w:spacing w:after="90" w:line="264"/>
      </w:pPr>
      <w:r>
        <w:t>• Fixed payment due dates automatically create trackable Calendar entries so upcoming financial obligations appear alongside normal events.</w:t>
      </w:r>
    </w:p>
    <w:p>
      <w:pPr>
        <w:pStyle w:val="ListParagraph"/>
        <w:numPr>
          <w:ilvl w:val="0"/>
          <w:numId w:val="2"/>
        </w:numPr>
        <w:spacing w:after="90" w:line="264"/>
      </w:pPr>
      <w:r>
        <w:t>• Autopay schedules create Calendar entries on their configured execution dates and can include configurable reminders.</w:t>
      </w:r>
    </w:p>
    <w:p>
      <w:pPr>
        <w:pStyle w:val="ListParagraph"/>
        <w:numPr>
          <w:ilvl w:val="0"/>
          <w:numId w:val="2"/>
        </w:numPr>
        <w:spacing w:after="90" w:line="264"/>
      </w:pPr>
      <w:r>
        <w:t>• Calendar entries identify the payment name, expected amount, due/Autopay date, and payment status, with a link to the related Finance record.</w:t>
      </w:r>
    </w:p>
    <w:p>
      <w:pPr>
        <w:pStyle w:val="ListParagraph"/>
        <w:numPr>
          <w:ilvl w:val="0"/>
          <w:numId w:val="2"/>
        </w:numPr>
        <w:spacing w:after="90" w:line="264"/>
      </w:pPr>
      <w:r>
        <w:t>• When a payment is recorded or reconciled, the linked Calendar item can be marked completed through the existing event-driven cross-module architecture.</w:t>
      </w:r>
    </w:p>
    <w:p>
      <w:pPr>
        <w:pStyle w:val="Heading2"/>
        <w:spacing w:after="140" w:before="280"/>
      </w:pPr>
      <w:r>
        <w:t>4.1.5 Finance Data Model Additions</w:t>
      </w:r>
    </w:p>
    <w:p>
      <w:pPr>
        <w:pStyle w:val="ListParagraph"/>
        <w:numPr>
          <w:ilvl w:val="0"/>
          <w:numId w:val="2"/>
        </w:numPr>
        <w:spacing w:after="90" w:line="264"/>
      </w:pPr>
      <w:r>
        <w:t>• MonthlyBudget: id, user_id, month, total_budget, category_limits (JSONB), created_at, updated_at.</w:t>
      </w:r>
    </w:p>
    <w:p>
      <w:pPr>
        <w:pStyle w:val="ListParagraph"/>
        <w:numPr>
          <w:ilvl w:val="0"/>
          <w:numId w:val="2"/>
        </w:numPr>
        <w:spacing w:after="90" w:line="264"/>
      </w:pPr>
      <w:r>
        <w:t>• FixedPayment: id, user_id, name, category, expected_amount, due_day, recurrence_rule, payment_method (optional), autopay_enabled, active, created_at, updated_at.</w:t>
      </w:r>
    </w:p>
    <w:p>
      <w:pPr>
        <w:pStyle w:val="ListParagraph"/>
        <w:numPr>
          <w:ilvl w:val="0"/>
          <w:numId w:val="2"/>
        </w:numPr>
        <w:spacing w:after="90" w:line="264"/>
      </w:pPr>
      <w:r>
        <w:t>• PaymentSchedule: id, user_id, fixed_payment_id, scheduled_at, amount, type (fixed_due | autopay), status (upcoming | completed | skipped), calendar_event_id (optional), created_at, updated_at.</w:t>
      </w:r>
    </w:p>
    <w:p>
      <w:pPr>
        <w:pStyle w:val="ListParagraph"/>
        <w:numPr>
          <w:ilvl w:val="0"/>
          <w:numId w:val="2"/>
        </w:numPr>
        <w:spacing w:after="90" w:line="264"/>
      </w:pPr>
      <w:r>
        <w:t>• FinanceSummary: id, user_id, month, total_budget, fixed_committed, actual_spent, actual_usable, remaining_budget, category_actuals (JSONB), generated_at.</w:t>
      </w:r>
    </w:p>
    <w:p>
      <w:pPr>
        <w:pStyle w:val="ListParagraph"/>
        <w:numPr>
          <w:ilvl w:val="0"/>
          <w:numId w:val="2"/>
        </w:numPr>
        <w:spacing w:after="90" w:line="264"/>
      </w:pPr>
      <w:r>
        <w:t>• Finance and Calendar communicate through domain events rather than direct database access, consistent with LifeHub's existing modular event-driven architecture.</w:t>
      </w:r>
    </w:p>
    <w:p>
      <w:pPr>
        <w:pStyle w:val="Heading1"/>
        <w:pBdr>
          <w:bottom w:val="single" w:color="1F3A5F" w:sz="6" w:space="4"/>
        </w:pBdr>
        <w:spacing w:after="200" w:before="400"/>
      </w:pPr>
      <w:r>
        <w:t>4.3 New Feature Specifications</w:t>
      </w:r>
    </w:p>
    <w:p>
      <w:pPr>
        <w:pStyle w:val="Heading2"/>
        <w:spacing w:after="140" w:before="280"/>
      </w:pPr>
      <w:r>
        <w:t>4.3.1 Manual Miscellaneous Calendar Events</w:t>
      </w:r>
    </w:p>
    <w:p>
      <w:pPr>
        <w:pStyle w:val="ListParagraph"/>
        <w:numPr>
          <w:ilvl w:val="0"/>
          <w:numId w:val="2"/>
        </w:numPr>
        <w:spacing w:after="90" w:line="264"/>
      </w:pPr>
      <w:r>
        <w:t>• Users can manually add trackable events that do not originate from email extraction, wearable data, or another LifeHub module.</w:t>
      </w:r>
    </w:p>
    <w:p>
      <w:pPr>
        <w:pStyle w:val="ListParagraph"/>
        <w:numPr>
          <w:ilvl w:val="0"/>
          <w:numId w:val="2"/>
        </w:numPr>
        <w:spacing w:after="90" w:line="264"/>
      </w:pPr>
      <w:r>
        <w:t>• Event fields: title, date, start time, optional end time or duration, category, location (optional), notes (optional), recurrence (optional), reminder time, and completion/status.</w:t>
      </w:r>
    </w:p>
    <w:p>
      <w:pPr>
        <w:pStyle w:val="ListParagraph"/>
        <w:numPr>
          <w:ilvl w:val="0"/>
          <w:numId w:val="2"/>
        </w:numPr>
        <w:spacing w:after="90" w:line="264"/>
      </w:pPr>
      <w:r>
        <w:t>• Examples include appointments, college deadlines, assignment submissions, meetings, travel plans, personal errands, examinations, bill due dates, and other one-off or recurring activities.</w:t>
      </w:r>
    </w:p>
    <w:p>
      <w:pPr>
        <w:pStyle w:val="ListParagraph"/>
        <w:numPr>
          <w:ilvl w:val="0"/>
          <w:numId w:val="2"/>
        </w:numPr>
        <w:spacing w:after="90" w:line="264"/>
      </w:pPr>
      <w:r>
        <w:t>• Manual events are created locally first so they remain usable offline, then synchronized with the backend when connectivity resumes.</w:t>
      </w:r>
    </w:p>
    <w:p>
      <w:pPr>
        <w:pStyle w:val="ListParagraph"/>
        <w:numPr>
          <w:ilvl w:val="0"/>
          <w:numId w:val="2"/>
        </w:numPr>
        <w:spacing w:after="90" w:line="264"/>
      </w:pPr>
      <w:r>
        <w:t>• Automatically extracted email events continue to require user confirmation; manually created events are explicitly user-created and therefore do not require an extraction-confirmation step.</w:t>
      </w:r>
    </w:p>
    <w:p>
      <w:pPr>
        <w:pStyle w:val="ListParagraph"/>
        <w:numPr>
          <w:ilvl w:val="0"/>
          <w:numId w:val="2"/>
        </w:numPr>
        <w:spacing w:after="90" w:line="264"/>
      </w:pPr>
      <w:r>
        <w:t>• Trackable events can expose completion status and optionally emit a CalendarEventCompleted domain event so other modules can react without direct database coupling.</w:t>
      </w:r>
    </w:p>
    <w:p>
      <w:pPr>
        <w:pStyle w:val="Heading2"/>
        <w:spacing w:after="140" w:before="280"/>
      </w:pPr>
      <w:r>
        <w:t>4.3.2 Habit Timer / Stopwatch</w:t>
      </w:r>
    </w:p>
    <w:p>
      <w:pPr>
        <w:pStyle w:val="ListParagraph"/>
        <w:numPr>
          <w:ilvl w:val="0"/>
          <w:numId w:val="2"/>
        </w:numPr>
        <w:spacing w:after="90" w:line="264"/>
      </w:pPr>
      <w:r>
        <w:t>• Each habit or routine may optionally be timed instead of, or in addition to, simple completion marking.</w:t>
      </w:r>
    </w:p>
    <w:p>
      <w:pPr>
        <w:pStyle w:val="ListParagraph"/>
        <w:numPr>
          <w:ilvl w:val="0"/>
          <w:numId w:val="2"/>
        </w:numPr>
        <w:spacing w:after="90" w:line="264"/>
      </w:pPr>
      <w:r>
        <w:t>• The timer supports Start, Pause, Resume, Stop, and Reset controls. Stopwatch mode records elapsed time without a predefined target, while countdown mode records progress toward a user-defined duration.</w:t>
      </w:r>
    </w:p>
    <w:p>
      <w:pPr>
        <w:pStyle w:val="ListParagraph"/>
        <w:numPr>
          <w:ilvl w:val="0"/>
          <w:numId w:val="2"/>
        </w:numPr>
        <w:spacing w:after="90" w:line="264"/>
      </w:pPr>
      <w:r>
        <w:t>• When stopped, the elapsed duration is stored as a habit activity log and can contribute to daily and weekly analytics.</w:t>
      </w:r>
    </w:p>
    <w:p>
      <w:pPr>
        <w:pStyle w:val="ListParagraph"/>
        <w:numPr>
          <w:ilvl w:val="0"/>
          <w:numId w:val="2"/>
        </w:numPr>
        <w:spacing w:after="90" w:line="264"/>
      </w:pPr>
      <w:r>
        <w:t>• Users can associate a timed session with a specific habit, such as studying, reading, meditation, exercise, or a custom routine.</w:t>
      </w:r>
    </w:p>
    <w:p>
      <w:pPr>
        <w:pStyle w:val="ListParagraph"/>
        <w:numPr>
          <w:ilvl w:val="0"/>
          <w:numId w:val="2"/>
        </w:numPr>
        <w:spacing w:after="90" w:line="264"/>
      </w:pPr>
      <w:r>
        <w:t>• The timer remains accurate when the application moves to the background by storing a start timestamp and calculating elapsed time from timestamps rather than relying only on an active UI interval.</w:t>
      </w:r>
    </w:p>
    <w:p>
      <w:pPr>
        <w:pStyle w:val="ListParagraph"/>
        <w:numPr>
          <w:ilvl w:val="0"/>
          <w:numId w:val="2"/>
        </w:numPr>
        <w:spacing w:after="90" w:line="264"/>
      </w:pPr>
      <w:r>
        <w:t>• Timed completion can publish a HabitSessionCompleted domain event, allowing the dashboard and analytics components to update without tight coupling.</w:t>
      </w:r>
    </w:p>
    <w:p>
      <w:pPr>
        <w:pStyle w:val="Heading2"/>
        <w:spacing w:after="140" w:before="280"/>
      </w:pPr>
      <w:r>
        <w:t>4.3.3 Phone Usage Statistics</w:t>
      </w:r>
    </w:p>
    <w:p>
      <w:pPr>
        <w:pStyle w:val="ListParagraph"/>
        <w:numPr>
          <w:ilvl w:val="0"/>
          <w:numId w:val="2"/>
        </w:numPr>
        <w:spacing w:after="90" w:line="264"/>
      </w:pPr>
      <w:r>
        <w:t>• The Phone Usage Statistics module provides a dedicated view of how much time the user spends on the phone and which applications account for that usage.</w:t>
      </w:r>
    </w:p>
    <w:p>
      <w:pPr>
        <w:pStyle w:val="ListParagraph"/>
        <w:numPr>
          <w:ilvl w:val="0"/>
          <w:numId w:val="2"/>
        </w:numPr>
        <w:spacing w:after="90" w:line="264"/>
      </w:pPr>
      <w:r>
        <w:t>• Dashboard metrics include total screen/phone usage for today, daily and weekly averages, most-used applications, and comparison with previous days or weeks.</w:t>
      </w:r>
    </w:p>
    <w:p>
      <w:pPr>
        <w:pStyle w:val="ListParagraph"/>
        <w:numPr>
          <w:ilvl w:val="0"/>
          <w:numId w:val="2"/>
        </w:numPr>
        <w:spacing w:after="90" w:line="264"/>
      </w:pPr>
      <w:r>
        <w:t>• Usage is categorized by application and, where the platform permits reliable classification, by broader categories such as Social, Entertainment, Education, Communication, Productivity, and Other.</w:t>
      </w:r>
    </w:p>
    <w:p>
      <w:pPr>
        <w:pStyle w:val="ListParagraph"/>
        <w:numPr>
          <w:ilvl w:val="0"/>
          <w:numId w:val="2"/>
        </w:numPr>
        <w:spacing w:after="90" w:line="264"/>
      </w:pPr>
      <w:r>
        <w:t>• App-level views show usage duration, percentage of total usage, and historical trends. The dashboard can highlight the top applications responsible for screen time.</w:t>
      </w:r>
    </w:p>
    <w:p>
      <w:pPr>
        <w:pStyle w:val="ListParagraph"/>
        <w:numPr>
          <w:ilvl w:val="0"/>
          <w:numId w:val="2"/>
        </w:numPr>
        <w:spacing w:after="90" w:line="264"/>
      </w:pPr>
      <w:r>
        <w:t>• The feature is implemented using platform-native usage/screen-time APIs and requires explicit user permission. If the operating system does not expose a requested metric, LifeHub displays the available data rather than fabricating values.</w:t>
      </w:r>
    </w:p>
    <w:p>
      <w:pPr>
        <w:pStyle w:val="ListParagraph"/>
        <w:numPr>
          <w:ilvl w:val="0"/>
          <w:numId w:val="2"/>
        </w:numPr>
        <w:spacing w:after="90" w:line="264"/>
      </w:pPr>
      <w:r>
        <w:t>• Usage statistics are primarily device-derived and can be cached locally for offline viewing. If synchronized to the backend, only the minimum necessary aggregate data should be transmitted.</w:t>
      </w:r>
    </w:p>
    <w:p>
      <w:pPr>
        <w:pStyle w:val="ListParagraph"/>
        <w:numPr>
          <w:ilvl w:val="0"/>
          <w:numId w:val="2"/>
        </w:numPr>
        <w:spacing w:after="90" w:line="264"/>
      </w:pPr>
      <w:r>
        <w:t>• Optional goals can allow users to set a daily usage target and receive a notification when their configured threshold is approached or exceeded.</w:t>
      </w:r>
    </w:p>
    <w:p>
      <w:pPr>
        <w:pStyle w:val="Heading2"/>
        <w:spacing w:after="140" w:before="280"/>
      </w:pPr>
      <w:r>
        <w:t>4.3.4 Data Model Additions</w:t>
      </w:r>
    </w:p>
    <w:p>
      <w:pPr>
        <w:pStyle w:val="ListParagraph"/>
        <w:numPr>
          <w:ilvl w:val="0"/>
          <w:numId w:val="2"/>
        </w:numPr>
        <w:spacing w:after="90" w:line="264"/>
      </w:pPr>
      <w:r>
        <w:t>• CalendarEvent: id, user_id, title, category, start_at, end_at (optional), location (optional), notes (optional), recurrence_rule (optional), reminder_at (optional), status, source (manual | email | system), created_at, updated_at.</w:t>
      </w:r>
    </w:p>
    <w:p>
      <w:pPr>
        <w:pStyle w:val="ListParagraph"/>
        <w:numPr>
          <w:ilvl w:val="0"/>
          <w:numId w:val="2"/>
        </w:numPr>
        <w:spacing w:after="90" w:line="264"/>
      </w:pPr>
      <w:r>
        <w:t>• HabitSession: id, user_id, habit_id, started_at, ended_at, duration_seconds, mode (stopwatch | countdown), target_seconds (optional), status, created_at.</w:t>
      </w:r>
    </w:p>
    <w:p>
      <w:pPr>
        <w:pStyle w:val="ListParagraph"/>
        <w:numPr>
          <w:ilvl w:val="0"/>
          <w:numId w:val="2"/>
        </w:numPr>
        <w:spacing w:after="90" w:line="264"/>
      </w:pPr>
      <w:r>
        <w:t>• AppUsageLog: id, user_id, usage_date, app_identifier, app_name, category, duration_seconds, foreground_count (optional), source (ios | android), created_at.</w:t>
      </w:r>
    </w:p>
    <w:p>
      <w:pPr>
        <w:pStyle w:val="ListParagraph"/>
        <w:numPr>
          <w:ilvl w:val="0"/>
          <w:numId w:val="2"/>
        </w:numPr>
        <w:spacing w:after="90" w:line="264"/>
      </w:pPr>
      <w:r>
        <w:t>• UsageSummary: id, user_id, usage_date, total_duration_seconds, top_app_identifier (optional), category_totals (JSONB), generated_at.</w:t>
      </w:r>
    </w:p>
    <w:p>
      <w:pPr>
        <w:pStyle w:val="ListParagraph"/>
        <w:numPr>
          <w:ilvl w:val="0"/>
          <w:numId w:val="2"/>
        </w:numPr>
        <w:spacing w:after="90" w:line="264"/>
      </w:pPr>
      <w:r>
        <w:t>• The new entities follow the existing offline-first local-write-then-sync approach and should be indexed by user_id and date/time fields for efficient dashboard queries.</w:t>
      </w:r>
    </w:p>
    <w:p>
      <w:pPr>
        <w:pStyle w:val="Heading1"/>
        <w:pBdr>
          <w:bottom w:val="single" w:color="1F3A5F" w:sz="6" w:space="4"/>
        </w:pBdr>
        <w:spacing w:after="200" w:before="400"/>
      </w:pPr>
      <w:r>
        <w:t>4.4 Functional Requirements Summary</w:t>
      </w:r>
    </w:p>
    <w:p>
      <w:pPr>
        <w:pStyle w:val="ListParagraph"/>
        <w:numPr>
          <w:ilvl w:val="0"/>
          <w:numId w:val="2"/>
        </w:numPr>
        <w:spacing w:after="90" w:line="264"/>
      </w:pPr>
      <w:r>
        <w:t>• FR-01 — Finance: create, edit, delete, categorize, and view transactions.</w:t>
      </w:r>
    </w:p>
    <w:p>
      <w:pPr>
        <w:pStyle w:val="ListParagraph"/>
        <w:numPr>
          <w:ilvl w:val="0"/>
          <w:numId w:val="2"/>
        </w:numPr>
        <w:spacing w:after="90" w:line="264"/>
      </w:pPr>
      <w:r>
        <w:t>• FR-02 — Budgeting: define monthly total budgets and optional category-level limits.</w:t>
      </w:r>
    </w:p>
    <w:p>
      <w:pPr>
        <w:pStyle w:val="ListParagraph"/>
        <w:numPr>
          <w:ilvl w:val="0"/>
          <w:numId w:val="2"/>
        </w:numPr>
        <w:spacing w:after="90" w:line="264"/>
      </w:pPr>
      <w:r>
        <w:t>• FR-03 — Finance analytics: display Total Budget, Fixed/Committed Payments, Actual Spent, Actual Usable Budget, and Remaining Budget.</w:t>
      </w:r>
    </w:p>
    <w:p>
      <w:pPr>
        <w:pStyle w:val="ListParagraph"/>
        <w:numPr>
          <w:ilvl w:val="0"/>
          <w:numId w:val="2"/>
        </w:numPr>
        <w:spacing w:after="90" w:line="264"/>
      </w:pPr>
      <w:r>
        <w:t>• FR-04 — Fixed payments: define recurring obligations with amount, category, due date, and recurrence.</w:t>
      </w:r>
    </w:p>
    <w:p>
      <w:pPr>
        <w:pStyle w:val="ListParagraph"/>
        <w:numPr>
          <w:ilvl w:val="0"/>
          <w:numId w:val="2"/>
        </w:numPr>
        <w:spacing w:after="90" w:line="264"/>
      </w:pPr>
      <w:r>
        <w:t>• FR-05 — Autopay: mark recurring payments as Autopay-enabled and track scheduled payment dates.</w:t>
      </w:r>
    </w:p>
    <w:p>
      <w:pPr>
        <w:pStyle w:val="ListParagraph"/>
        <w:numPr>
          <w:ilvl w:val="0"/>
          <w:numId w:val="2"/>
        </w:numPr>
        <w:spacing w:after="90" w:line="264"/>
      </w:pPr>
      <w:r>
        <w:t>• FR-06 — Calendar integration: create deadlines/reminders for fixed payments and Autopay dates and link them to the Finance record.</w:t>
      </w:r>
    </w:p>
    <w:p>
      <w:pPr>
        <w:pStyle w:val="ListParagraph"/>
        <w:numPr>
          <w:ilvl w:val="0"/>
          <w:numId w:val="2"/>
        </w:numPr>
        <w:spacing w:after="90" w:line="264"/>
      </w:pPr>
      <w:r>
        <w:t>• FR-07 — Calendar: manually create miscellaneous trackable events with timing, category, reminder, recurrence, and completion status.</w:t>
      </w:r>
    </w:p>
    <w:p>
      <w:pPr>
        <w:pStyle w:val="ListParagraph"/>
        <w:numPr>
          <w:ilvl w:val="0"/>
          <w:numId w:val="2"/>
        </w:numPr>
        <w:spacing w:after="90" w:line="264"/>
      </w:pPr>
      <w:r>
        <w:t>• FR-08 — Habit timing: run stopwatch or countdown sessions against a selected habit/routine.</w:t>
      </w:r>
    </w:p>
    <w:p>
      <w:pPr>
        <w:pStyle w:val="ListParagraph"/>
        <w:numPr>
          <w:ilvl w:val="0"/>
          <w:numId w:val="2"/>
        </w:numPr>
        <w:spacing w:after="90" w:line="264"/>
      </w:pPr>
      <w:r>
        <w:t>• FR-09 — Timed analytics: persist habit-session timestamps and duration for historical analysis.</w:t>
      </w:r>
    </w:p>
    <w:p>
      <w:pPr>
        <w:pStyle w:val="ListParagraph"/>
        <w:numPr>
          <w:ilvl w:val="0"/>
          <w:numId w:val="2"/>
        </w:numPr>
        <w:spacing w:after="90" w:line="264"/>
      </w:pPr>
      <w:r>
        <w:t>• FR-10 — Phone analytics: show total phone/screen time and app-level usage where supported by the operating system.</w:t>
      </w:r>
    </w:p>
    <w:p>
      <w:pPr>
        <w:pStyle w:val="ListParagraph"/>
        <w:numPr>
          <w:ilvl w:val="0"/>
          <w:numId w:val="2"/>
        </w:numPr>
        <w:spacing w:after="90" w:line="264"/>
      </w:pPr>
      <w:r>
        <w:t>• FR-11 — Privacy/permissions: request only the device permissions necessary for usage statistics and explain their purpose.</w:t>
      </w:r>
    </w:p>
    <w:p>
      <w:pPr>
        <w:pStyle w:val="ListParagraph"/>
        <w:numPr>
          <w:ilvl w:val="0"/>
          <w:numId w:val="2"/>
        </w:numPr>
        <w:spacing w:after="90" w:line="264"/>
      </w:pPr>
      <w:r>
        <w:t>• FR-12 — Offline-first: allow core records to be created/updated locally and synchronized when connectivity returns.</w:t>
      </w:r>
    </w:p>
    <w:p>
      <w:pPr>
        <w:pStyle w:val="ListParagraph"/>
        <w:numPr>
          <w:ilvl w:val="0"/>
          <w:numId w:val="2"/>
        </w:numPr>
        <w:spacing w:after="90" w:line="264"/>
      </w:pPr>
      <w:r>
        <w:t>• FR-13 — Cross-module architecture: use domain events or defined interfaces instead of direct cross-module database access.</w:t>
      </w:r>
    </w:p>
    <w:p>
      <w:pPr>
        <w:pStyle w:val="ListParagraph"/>
        <w:numPr>
          <w:ilvl w:val="0"/>
          <w:numId w:val="2"/>
        </w:numPr>
        <w:spacing w:after="90" w:line="264"/>
      </w:pPr>
      <w:r>
        <w:t>• FR-14 — Confirmation safeguards: require user confirmation before committing automatically extracted email events or camera-recognized meal data.</w:t>
      </w:r>
    </w:p>
    <w:p>
      <w:pPr>
        <w:pStyle w:val="Heading1"/>
        <w:pBdr>
          <w:bottom w:val="single" w:color="1F3A5F" w:sz="6" w:space="4"/>
        </w:pBdr>
        <w:spacing w:after="200" w:before="400"/>
      </w:pPr>
      <w:r>
        <w:rPr>
          <w:b/>
          <w:bCs/>
          <w:color w:val="1F3A5F"/>
          <w:sz w:val="30"/>
          <w:szCs w:val="30"/>
        </w:rPr>
        <w:t xml:space="preserve">5. Scalability Considerations</w:t>
      </w:r>
    </w:p>
    <w:p>
      <w:pPr>
        <w:pStyle w:val="Heading2"/>
        <w:spacing w:after="140" w:before="280"/>
      </w:pPr>
      <w:r>
        <w:rPr>
          <w:b/>
          <w:bCs/>
          <w:color w:val="2E6F8E"/>
          <w:sz w:val="24"/>
          <w:szCs w:val="24"/>
        </w:rPr>
        <w:t xml:space="preserve">5.1 Application-Level Scalability</w:t>
      </w:r>
    </w:p>
    <w:p>
      <w:pPr>
        <w:pStyle w:val="ListParagraph"/>
        <w:numPr>
          <w:ilvl w:val="0"/>
          <w:numId w:val="2"/>
        </w:numPr>
        <w:spacing w:after="90" w:line="264"/>
      </w:pPr>
      <w:r>
        <w:rPr>
          <w:sz w:val="22"/>
          <w:szCs w:val="22"/>
        </w:rPr>
        <w:t xml:space="preserve">Stateless API servers allow horizontal scaling behind a load balancer with no session-affinity requirement</w:t>
      </w:r>
    </w:p>
    <w:p>
      <w:pPr>
        <w:pStyle w:val="ListParagraph"/>
        <w:numPr>
          <w:ilvl w:val="0"/>
          <w:numId w:val="2"/>
        </w:numPr>
        <w:spacing w:after="90" w:line="264"/>
      </w:pPr>
      <w:r>
        <w:rPr>
          <w:sz w:val="22"/>
          <w:szCs w:val="22"/>
        </w:rPr>
        <w:t xml:space="preserve">Modular monolith boundaries are designed along domain lines so that any single module (e.g., Finance) can be extracted into an independent microservice if its load profile diverges significantly from the rest of the system</w:t>
      </w:r>
    </w:p>
    <w:p>
      <w:pPr>
        <w:pStyle w:val="ListParagraph"/>
        <w:numPr>
          <w:ilvl w:val="0"/>
          <w:numId w:val="2"/>
        </w:numPr>
        <w:spacing w:after="90" w:line="264"/>
      </w:pPr>
      <w:r>
        <w:rPr>
          <w:sz w:val="22"/>
          <w:szCs w:val="22"/>
        </w:rPr>
        <w:t xml:space="preserve">Read-heavy endpoints (dashboards, analytics summaries) are candidates for Redis-backed caching to reduce database load</w:t>
      </w:r>
    </w:p>
    <w:p>
      <w:pPr>
        <w:pStyle w:val="Heading2"/>
        <w:spacing w:after="140" w:before="280"/>
      </w:pPr>
      <w:r>
        <w:rPr>
          <w:b/>
          <w:bCs/>
          <w:color w:val="2E6F8E"/>
          <w:sz w:val="24"/>
          <w:szCs w:val="24"/>
        </w:rPr>
        <w:t xml:space="preserve">5.2 Data-Level Scalability</w:t>
      </w:r>
    </w:p>
    <w:p>
      <w:pPr>
        <w:pStyle w:val="ListParagraph"/>
        <w:numPr>
          <w:ilvl w:val="0"/>
          <w:numId w:val="2"/>
        </w:numPr>
        <w:spacing w:after="90" w:line="264"/>
      </w:pPr>
      <w:r>
        <w:rPr>
          <w:sz w:val="22"/>
          <w:szCs w:val="22"/>
        </w:rPr>
        <w:t xml:space="preserve">Database indexing on high-cardinality query fields (user_id, date ranges) to maintain query performance as record volume grows</w:t>
      </w:r>
    </w:p>
    <w:p>
      <w:pPr>
        <w:pStyle w:val="ListParagraph"/>
        <w:numPr>
          <w:ilvl w:val="0"/>
          <w:numId w:val="2"/>
        </w:numPr>
        <w:spacing w:after="90" w:line="264"/>
      </w:pPr>
      <w:r>
        <w:rPr>
          <w:sz w:val="22"/>
          <w:szCs w:val="22"/>
        </w:rPr>
        <w:t xml:space="preserve">Time-series-style data (habit logs, fitness logs, wearable metrics) is partitioned by date range for efficient archival and querying at scale</w:t>
      </w:r>
    </w:p>
    <w:p>
      <w:pPr>
        <w:pStyle w:val="ListParagraph"/>
        <w:numPr>
          <w:ilvl w:val="0"/>
          <w:numId w:val="2"/>
        </w:numPr>
        <w:spacing w:after="90" w:line="264"/>
      </w:pPr>
      <w:r>
        <w:rPr>
          <w:sz w:val="22"/>
          <w:szCs w:val="22"/>
        </w:rPr>
        <w:t xml:space="preserve">Read replicas can be introduced for the primary PostgreSQL instance to offload analytics/reporting queries from transactional writes</w:t>
      </w:r>
    </w:p>
    <w:p>
      <w:pPr>
        <w:pStyle w:val="Heading2"/>
        <w:spacing w:after="140" w:before="280"/>
      </w:pPr>
      <w:r>
        <w:t>5.2.1 Budget &amp; Payment Analytics Scalability</w:t>
      </w:r>
    </w:p>
    <w:p>
      <w:pPr>
        <w:pStyle w:val="ListParagraph"/>
        <w:numPr>
          <w:ilvl w:val="0"/>
          <w:numId w:val="2"/>
        </w:numPr>
        <w:spacing w:after="90" w:line="264"/>
      </w:pPr>
      <w:r>
        <w:t>• Monthly budget summaries and category aggregates should be indexed by user_id and month for efficient dashboard queries.</w:t>
      </w:r>
    </w:p>
    <w:p>
      <w:pPr>
        <w:pStyle w:val="ListParagraph"/>
        <w:numPr>
          <w:ilvl w:val="0"/>
          <w:numId w:val="2"/>
        </w:numPr>
        <w:spacing w:after="90" w:line="264"/>
      </w:pPr>
      <w:r>
        <w:t>• Recurring payment schedules should generate or reconcile monthly instances without duplicating the underlying fixed-payment definition.</w:t>
      </w:r>
    </w:p>
    <w:p>
      <w:pPr>
        <w:pStyle w:val="ListParagraph"/>
        <w:numPr>
          <w:ilvl w:val="0"/>
          <w:numId w:val="2"/>
        </w:numPr>
        <w:spacing w:after="90" w:line="264"/>
      </w:pPr>
      <w:r>
        <w:t>• Historical finance transactions should remain accurate and immutable where practical, while future recurring schedules can be edited independently.</w:t>
      </w:r>
    </w:p>
    <w:p>
      <w:pPr>
        <w:pStyle w:val="Heading1"/>
        <w:pBdr>
          <w:bottom w:val="single" w:color="1F3A5F" w:sz="6" w:space="4"/>
        </w:pBdr>
        <w:spacing w:after="200" w:before="400"/>
      </w:pPr>
      <w:r>
        <w:t>5.2.1 Budget &amp; Payment Analytics Scalability</w:t>
      </w:r>
    </w:p>
    <w:p>
      <w:pPr>
        <w:pStyle w:val="ListParagraph"/>
        <w:numPr>
          <w:ilvl w:val="0"/>
          <w:numId w:val="2"/>
        </w:numPr>
        <w:spacing w:after="90" w:line="264"/>
      </w:pPr>
      <w:r>
        <w:t>• Index monthly budget summaries and category aggregates by user_id and month for efficient dashboard queries.</w:t>
      </w:r>
    </w:p>
    <w:p>
      <w:pPr>
        <w:pStyle w:val="ListParagraph"/>
        <w:numPr>
          <w:ilvl w:val="0"/>
          <w:numId w:val="2"/>
        </w:numPr>
        <w:spacing w:after="90" w:line="264"/>
      </w:pPr>
      <w:r>
        <w:t>• Generate or reconcile recurring payment occurrences without duplicating the underlying fixed-payment definition.</w:t>
      </w:r>
    </w:p>
    <w:p>
      <w:pPr>
        <w:pStyle w:val="ListParagraph"/>
        <w:numPr>
          <w:ilvl w:val="0"/>
          <w:numId w:val="2"/>
        </w:numPr>
        <w:spacing w:after="90" w:line="264"/>
      </w:pPr>
      <w:r>
        <w:t>• Preserve historical transactions while allowing future recurring payment schedules to change independently.</w:t>
      </w:r>
    </w:p>
    <w:p>
      <w:pPr>
        <w:pStyle w:val="Heading2"/>
        <w:spacing w:after="140" w:before="280"/>
      </w:pPr>
      <w:r>
        <w:rPr>
          <w:b/>
          <w:bCs/>
          <w:color w:val="2E6F8E"/>
          <w:sz w:val="24"/>
          <w:szCs w:val="24"/>
        </w:rPr>
        <w:t xml:space="preserve">5.3 Mobile Client Scalability</w:t>
      </w:r>
    </w:p>
    <w:p>
      <w:pPr>
        <w:pStyle w:val="ListParagraph"/>
        <w:numPr>
          <w:ilvl w:val="0"/>
          <w:numId w:val="2"/>
        </w:numPr>
        <w:spacing w:after="90" w:line="264"/>
      </w:pPr>
      <w:r>
        <w:rPr>
          <w:sz w:val="22"/>
          <w:szCs w:val="22"/>
        </w:rPr>
        <w:t xml:space="preserve">Local-first architecture keeps the app responsive regardless of network conditions or backend load</w:t>
      </w:r>
    </w:p>
    <w:p>
      <w:pPr>
        <w:pStyle w:val="ListParagraph"/>
        <w:numPr>
          <w:ilvl w:val="0"/>
          <w:numId w:val="2"/>
        </w:numPr>
        <w:spacing w:after="90" w:line="264"/>
      </w:pPr>
      <w:r>
        <w:rPr>
          <w:sz w:val="22"/>
          <w:szCs w:val="22"/>
        </w:rPr>
        <w:t xml:space="preserve">Delta-sync (only changed records transmitted) minimizes bandwidth and battery usage as a user's data volume grows over time</w:t>
      </w:r>
    </w:p>
    <w:p>
      <w:pPr>
        <w:pStyle w:val="ListParagraph"/>
        <w:numPr>
          <w:ilvl w:val="0"/>
          <w:numId w:val="2"/>
        </w:numPr>
        <w:spacing w:after="90" w:line="264"/>
      </w:pPr>
      <w:r>
        <w:rPr>
          <w:sz w:val="22"/>
          <w:szCs w:val="22"/>
        </w:rPr>
        <w:t xml:space="preserve">Pagination and lazy-loading applied to long historical lists (transactions, habit logs) to keep on-device memory usage bounded</w:t>
      </w:r>
    </w:p>
    <w:p>
      <w:pPr>
        <w:pStyle w:val="Heading2"/>
        <w:spacing w:after="140" w:before="280"/>
      </w:pPr>
      <w:r>
        <w:t>5.3.1 Usage Analytics Scalability</w:t>
      </w:r>
    </w:p>
    <w:p>
      <w:pPr>
        <w:pStyle w:val="ListParagraph"/>
        <w:numPr>
          <w:ilvl w:val="0"/>
          <w:numId w:val="2"/>
        </w:numPr>
        <w:spacing w:after="90" w:line="264"/>
      </w:pPr>
      <w:r>
        <w:t>• Phone usage records can grow rapidly because they are time-series-style data; aggregate daily summaries should be retained for dashboard queries while detailed raw records may be retained for a shorter configurable period.</w:t>
      </w:r>
    </w:p>
    <w:p>
      <w:pPr>
        <w:pStyle w:val="ListParagraph"/>
        <w:numPr>
          <w:ilvl w:val="0"/>
          <w:numId w:val="2"/>
        </w:numPr>
        <w:spacing w:after="90" w:line="264"/>
      </w:pPr>
      <w:r>
        <w:t>• Indexing by user_id, usage_date, and app_identifier supports efficient app-wise and date-range analytics.</w:t>
      </w:r>
    </w:p>
    <w:p>
      <w:pPr>
        <w:pStyle w:val="ListParagraph"/>
        <w:numPr>
          <w:ilvl w:val="0"/>
          <w:numId w:val="2"/>
        </w:numPr>
        <w:spacing w:after="90" w:line="264"/>
      </w:pPr>
      <w:r>
        <w:t>• Heavy analytics endpoints are candidates for Redis-backed caching, consistent with the existing dashboard scalability strategy.</w:t>
      </w:r>
    </w:p>
    <w:p>
      <w:pPr>
        <w:pStyle w:val="Heading2"/>
        <w:spacing w:after="140" w:before="280"/>
      </w:pPr>
      <w:r>
        <w:rPr>
          <w:b/>
          <w:bCs/>
          <w:color w:val="2E6F8E"/>
          <w:sz w:val="24"/>
          <w:szCs w:val="24"/>
        </w:rPr>
        <w:t xml:space="preserve">5.4 Integration-Level Scalability</w:t>
      </w:r>
    </w:p>
    <w:p>
      <w:pPr>
        <w:pStyle w:val="ListParagraph"/>
        <w:numPr>
          <w:ilvl w:val="0"/>
          <w:numId w:val="2"/>
        </w:numPr>
        <w:spacing w:after="90" w:line="264"/>
      </w:pPr>
      <w:r>
        <w:rPr>
          <w:sz w:val="22"/>
          <w:szCs w:val="22"/>
        </w:rPr>
        <w:t xml:space="preserve">Wearable and email sync run asynchronously via a background job queue, decoupling third-party API latency from the user-facing request path</w:t>
      </w:r>
    </w:p>
    <w:p>
      <w:pPr>
        <w:pStyle w:val="ListParagraph"/>
        <w:numPr>
          <w:ilvl w:val="0"/>
          <w:numId w:val="2"/>
        </w:numPr>
        <w:spacing w:after="90" w:line="264"/>
      </w:pPr>
      <w:r>
        <w:rPr>
          <w:sz w:val="22"/>
          <w:szCs w:val="22"/>
        </w:rPr>
        <w:t xml:space="preserve">Webhook/push-based sync (Gmail push notifications, platform health-data change listeners) is preferred over polling wherever the provider supports it, to reduce unnecessary API calls as the user base grows</w:t>
      </w:r>
    </w:p>
    <w:p>
      <w:pPr>
        <w:pStyle w:val="ListParagraph"/>
        <w:numPr>
          <w:ilvl w:val="0"/>
          <w:numId w:val="2"/>
        </w:numPr>
        <w:spacing w:after="90" w:line="264"/>
      </w:pPr>
      <w:r>
        <w:rPr>
          <w:sz w:val="22"/>
          <w:szCs w:val="22"/>
        </w:rPr>
        <w:t xml:space="preserve">Per-integration rate-limit budgets and exponential backoff prevent a single user's sync load from starving others</w:t>
      </w:r>
    </w:p>
    <w:p>
      <w:pPr>
        <w:pStyle w:val="Heading2"/>
        <w:spacing w:after="140" w:before="280"/>
      </w:pPr>
      <w:r>
        <w:rPr>
          <w:b/>
          <w:bCs/>
          <w:color w:val="2E6F8E"/>
          <w:sz w:val="24"/>
          <w:szCs w:val="24"/>
        </w:rPr>
        <w:t xml:space="preserve">5.5 Future Growth Path</w:t>
      </w:r>
    </w:p>
    <w:p>
      <w:pPr>
        <w:pStyle w:val="ListParagraph"/>
        <w:numPr>
          <w:ilvl w:val="0"/>
          <w:numId w:val="2"/>
        </w:numPr>
        <w:spacing w:after="90" w:line="264"/>
      </w:pPr>
      <w:r>
        <w:rPr>
          <w:sz w:val="22"/>
          <w:szCs w:val="22"/>
        </w:rPr>
        <w:t xml:space="preserve">Modular monolith → microservices decomposition as usage grows past single-instance capacity</w:t>
      </w:r>
    </w:p>
    <w:p>
      <w:pPr>
        <w:pStyle w:val="ListParagraph"/>
        <w:numPr>
          <w:ilvl w:val="0"/>
          <w:numId w:val="2"/>
        </w:numPr>
        <w:spacing w:after="90" w:line="264"/>
      </w:pPr>
      <w:r>
        <w:rPr>
          <w:sz w:val="22"/>
          <w:szCs w:val="22"/>
        </w:rPr>
        <w:t xml:space="preserve">Introduction of an API gateway with per-module rate limiting and independent deployment pipelines</w:t>
      </w:r>
    </w:p>
    <w:p>
      <w:pPr>
        <w:pStyle w:val="ListParagraph"/>
        <w:numPr>
          <w:ilvl w:val="0"/>
          <w:numId w:val="2"/>
        </w:numPr>
        <w:spacing w:after="90" w:line="264"/>
      </w:pPr>
      <w:r>
        <w:rPr>
          <w:sz w:val="22"/>
          <w:szCs w:val="22"/>
        </w:rPr>
        <w:t xml:space="preserve">Companion web dashboard reusing the same backend API for desktop-based review and bulk data entry</w:t>
      </w:r>
    </w:p>
    <w:p>
      <w:pPr>
        <w:pStyle w:val="ListParagraph"/>
        <w:numPr>
          <w:ilvl w:val="0"/>
          <w:numId w:val="2"/>
        </w:numPr>
        <w:spacing w:after="90" w:line="264"/>
      </w:pPr>
      <w:r>
        <w:rPr>
          <w:sz w:val="22"/>
          <w:szCs w:val="22"/>
        </w:rPr>
        <w:t xml:space="preserve">Multi-region backend deployment and CDN-backed asset delivery for broader geographic user bases</w:t>
      </w:r>
    </w:p>
    <w:p>
      <w:pPr>
        <w:pStyle w:val="Heading1"/>
        <w:pBdr>
          <w:bottom w:val="single" w:color="1F3A5F" w:sz="6" w:space="4"/>
        </w:pBdr>
        <w:spacing w:after="200" w:before="400"/>
      </w:pPr>
      <w:r>
        <w:rPr>
          <w:b/>
          <w:bCs/>
          <w:color w:val="1F3A5F"/>
          <w:sz w:val="30"/>
          <w:szCs w:val="30"/>
        </w:rPr>
        <w:t xml:space="preserve">6. Encrypted Notes — Detailed Specification</w:t>
      </w:r>
    </w:p>
    <w:p>
      <w:pPr>
        <w:pStyle w:val="Heading2"/>
        <w:spacing w:after="140" w:before="280"/>
      </w:pPr>
      <w:r>
        <w:rPr>
          <w:b/>
          <w:bCs/>
          <w:color w:val="2E6F8E"/>
          <w:sz w:val="24"/>
          <w:szCs w:val="24"/>
        </w:rPr>
        <w:t xml:space="preserve">6.1 Purpose</w:t>
      </w:r>
    </w:p>
    <w:p>
      <w:pPr>
        <w:spacing w:after="160" w:line="276"/>
      </w:pPr>
      <w:r>
        <w:rPr>
          <w:sz w:val="22"/>
          <w:szCs w:val="22"/>
        </w:rPr>
        <w:t xml:space="preserve">Provides a lightweight, secure text-storage capability as a scoped alternative to a full credential/password manager, minimizing security surface area while still demonstrating applied cryptography and native secure-storage APIs.</w:t>
      </w:r>
    </w:p>
    <w:p>
      <w:pPr>
        <w:pStyle w:val="Heading2"/>
        <w:spacing w:after="140" w:before="280"/>
      </w:pPr>
      <w:r>
        <w:rPr>
          <w:b/>
          <w:bCs/>
          <w:color w:val="2E6F8E"/>
          <w:sz w:val="24"/>
          <w:szCs w:val="24"/>
        </w:rPr>
        <w:t xml:space="preserve">6.2 Data Model</w:t>
      </w:r>
    </w:p>
    <w:p>
      <w:pPr>
        <w:shd w:fill="F4F6F7" w:color="auto" w:val="clear"/>
        <w:spacing w:after="0"/>
        <w:ind w:left="200"/>
      </w:pPr>
      <w:r>
        <w:rPr>
          <w:rFonts w:ascii="Consolas" w:cs="Consolas" w:eastAsia="Consolas" w:hAnsi="Consolas"/>
          <w:color w:val="2C3E50"/>
          <w:sz w:val="19"/>
          <w:szCs w:val="19"/>
        </w:rPr>
        <w:t xml:space="preserve">EncryptedNote:</w:t>
      </w:r>
    </w:p>
    <w:p>
      <w:pPr>
        <w:shd w:fill="F4F6F7" w:color="auto" w:val="clear"/>
        <w:spacing w:after="0"/>
        <w:ind w:left="200"/>
      </w:pPr>
      <w:r>
        <w:rPr>
          <w:rFonts w:ascii="Consolas" w:cs="Consolas" w:eastAsia="Consolas" w:hAnsi="Consolas"/>
          <w:color w:val="2C3E50"/>
          <w:sz w:val="19"/>
          <w:szCs w:val="19"/>
        </w:rPr>
        <w:t xml:space="preserve">  id                 UUID, primary key</w:t>
      </w:r>
    </w:p>
    <w:p>
      <w:pPr>
        <w:shd w:fill="F4F6F7" w:color="auto" w:val="clear"/>
        <w:spacing w:after="0"/>
        <w:ind w:left="200"/>
      </w:pPr>
      <w:r>
        <w:rPr>
          <w:rFonts w:ascii="Consolas" w:cs="Consolas" w:eastAsia="Consolas" w:hAnsi="Consolas"/>
          <w:color w:val="2C3E50"/>
          <w:sz w:val="19"/>
          <w:szCs w:val="19"/>
        </w:rPr>
        <w:t xml:space="preserve">  user_id            UUID, foreign key -&gt; User</w:t>
      </w:r>
    </w:p>
    <w:p>
      <w:pPr>
        <w:shd w:fill="F4F6F7" w:color="auto" w:val="clear"/>
        <w:spacing w:after="0"/>
        <w:ind w:left="200"/>
      </w:pPr>
      <w:r>
        <w:rPr>
          <w:rFonts w:ascii="Consolas" w:cs="Consolas" w:eastAsia="Consolas" w:hAnsi="Consolas"/>
          <w:color w:val="2C3E50"/>
          <w:sz w:val="19"/>
          <w:szCs w:val="19"/>
        </w:rPr>
        <w:t xml:space="preserve">  title              string (optional, may be encrypted)</w:t>
      </w:r>
    </w:p>
    <w:p>
      <w:pPr>
        <w:shd w:fill="F4F6F7" w:color="auto" w:val="clear"/>
        <w:spacing w:after="0"/>
        <w:ind w:left="200"/>
      </w:pPr>
      <w:r>
        <w:rPr>
          <w:rFonts w:ascii="Consolas" w:cs="Consolas" w:eastAsia="Consolas" w:hAnsi="Consolas"/>
          <w:color w:val="2C3E50"/>
          <w:sz w:val="19"/>
          <w:szCs w:val="19"/>
        </w:rPr>
        <w:t xml:space="preserve">  encrypted_content   text (ciphertext)</w:t>
      </w:r>
    </w:p>
    <w:p>
      <w:pPr>
        <w:shd w:fill="F4F6F7" w:color="auto" w:val="clear"/>
        <w:spacing w:after="0"/>
        <w:ind w:left="200"/>
      </w:pPr>
      <w:r>
        <w:rPr>
          <w:rFonts w:ascii="Consolas" w:cs="Consolas" w:eastAsia="Consolas" w:hAnsi="Consolas"/>
          <w:color w:val="2C3E50"/>
          <w:sz w:val="19"/>
          <w:szCs w:val="19"/>
        </w:rPr>
        <w:t xml:space="preserve">  iv                 string (initialization vector, base64)</w:t>
      </w:r>
    </w:p>
    <w:p>
      <w:pPr>
        <w:shd w:fill="F4F6F7" w:color="auto" w:val="clear"/>
        <w:spacing w:after="0"/>
        <w:ind w:left="200"/>
      </w:pPr>
      <w:r>
        <w:rPr>
          <w:rFonts w:ascii="Consolas" w:cs="Consolas" w:eastAsia="Consolas" w:hAnsi="Consolas"/>
          <w:color w:val="2C3E50"/>
          <w:sz w:val="19"/>
          <w:szCs w:val="19"/>
        </w:rPr>
        <w:t xml:space="preserve">  created_at         timestamp</w:t>
      </w:r>
    </w:p>
    <w:p>
      <w:pPr>
        <w:shd w:fill="F4F6F7" w:color="auto" w:val="clear"/>
        <w:spacing w:after="0"/>
        <w:ind w:left="200"/>
      </w:pPr>
      <w:r>
        <w:rPr>
          <w:rFonts w:ascii="Consolas" w:cs="Consolas" w:eastAsia="Consolas" w:hAnsi="Consolas"/>
          <w:color w:val="2C3E50"/>
          <w:sz w:val="19"/>
          <w:szCs w:val="19"/>
        </w:rPr>
        <w:t xml:space="preserve">  updated_at         timestamp</w:t>
      </w:r>
    </w:p>
    <w:p>
      <w:pPr>
        <w:spacing w:after="160"/>
      </w:pPr>
    </w:p>
    <w:p>
      <w:pPr>
        <w:pStyle w:val="Heading2"/>
        <w:spacing w:after="140" w:before="280"/>
      </w:pPr>
      <w:r>
        <w:rPr>
          <w:b/>
          <w:bCs/>
          <w:color w:val="2E6F8E"/>
          <w:sz w:val="24"/>
          <w:szCs w:val="24"/>
        </w:rPr>
        <w:t xml:space="preserve">6.3 Encryption Flow</w:t>
      </w:r>
    </w:p>
    <w:p>
      <w:pPr>
        <w:pStyle w:val="ListParagraph"/>
        <w:numPr>
          <w:ilvl w:val="0"/>
          <w:numId w:val="3"/>
        </w:numPr>
        <w:spacing w:after="90" w:line="264"/>
      </w:pPr>
      <w:r>
        <w:rPr>
          <w:sz w:val="22"/>
          <w:szCs w:val="22"/>
        </w:rPr>
        <w:t xml:space="preserve">Master passphrase set on first use (distinct from account login credentials); never transmitted or stored server-side</w:t>
      </w:r>
    </w:p>
    <w:p>
      <w:pPr>
        <w:pStyle w:val="ListParagraph"/>
        <w:numPr>
          <w:ilvl w:val="0"/>
          <w:numId w:val="3"/>
        </w:numPr>
        <w:spacing w:after="90" w:line="264"/>
      </w:pPr>
      <w:r>
        <w:rPr>
          <w:sz w:val="22"/>
          <w:szCs w:val="22"/>
        </w:rPr>
        <w:t xml:space="preserve">Key derivation via PBKDF2 or Argon2 from the passphrase, executed on-device</w:t>
      </w:r>
    </w:p>
    <w:p>
      <w:pPr>
        <w:pStyle w:val="ListParagraph"/>
        <w:numPr>
          <w:ilvl w:val="0"/>
          <w:numId w:val="3"/>
        </w:numPr>
        <w:spacing w:after="90" w:line="264"/>
      </w:pPr>
      <w:r>
        <w:rPr>
          <w:sz w:val="22"/>
          <w:szCs w:val="22"/>
        </w:rPr>
        <w:t xml:space="preserve">Derived key cached in hardware-backed secure storage (iOS Keychain / Android Keystore) for the session, avoiding repeated re-derivation</w:t>
      </w:r>
    </w:p>
    <w:p>
      <w:pPr>
        <w:pStyle w:val="ListParagraph"/>
        <w:numPr>
          <w:ilvl w:val="0"/>
          <w:numId w:val="3"/>
        </w:numPr>
        <w:spacing w:after="90" w:line="264"/>
      </w:pPr>
      <w:r>
        <w:rPr>
          <w:sz w:val="22"/>
          <w:szCs w:val="22"/>
        </w:rPr>
        <w:t xml:space="preserve">Content encrypted on-device using AES-256-GCM prior to transmission</w:t>
      </w:r>
    </w:p>
    <w:p>
      <w:pPr>
        <w:pStyle w:val="ListParagraph"/>
        <w:numPr>
          <w:ilvl w:val="0"/>
          <w:numId w:val="3"/>
        </w:numPr>
        <w:spacing w:after="90" w:line="264"/>
      </w:pPr>
      <w:r>
        <w:rPr>
          <w:sz w:val="22"/>
          <w:szCs w:val="22"/>
        </w:rPr>
        <w:t xml:space="preserve">Ciphertext and IV persisted server-side; server has no decryption capability (zero-knowledge model)</w:t>
      </w:r>
    </w:p>
    <w:p>
      <w:pPr>
        <w:pStyle w:val="ListParagraph"/>
        <w:numPr>
          <w:ilvl w:val="0"/>
          <w:numId w:val="3"/>
        </w:numPr>
        <w:spacing w:after="90" w:line="264"/>
      </w:pPr>
      <w:r>
        <w:rPr>
          <w:sz w:val="22"/>
          <w:szCs w:val="22"/>
        </w:rPr>
        <w:t xml:space="preserve">Decryption occurs on-device only, after passphrase re-entry or secure-storage key retrieval</w:t>
      </w:r>
    </w:p>
    <w:p>
      <w:pPr>
        <w:pStyle w:val="Heading2"/>
        <w:spacing w:after="140" w:before="280"/>
      </w:pPr>
      <w:r>
        <w:rPr>
          <w:b/>
          <w:bCs/>
          <w:color w:val="2E6F8E"/>
          <w:sz w:val="24"/>
          <w:szCs w:val="24"/>
        </w:rPr>
        <w:t xml:space="preserve">6.4 Explicit Scope Boundaries</w:t>
      </w:r>
    </w:p>
    <w:p>
      <w:pPr>
        <w:pStyle w:val="ListParagraph"/>
        <w:numPr>
          <w:ilvl w:val="0"/>
          <w:numId w:val="2"/>
        </w:numPr>
        <w:spacing w:after="90" w:line="264"/>
      </w:pPr>
      <w:r>
        <w:rPr>
          <w:sz w:val="22"/>
          <w:szCs w:val="22"/>
        </w:rPr>
        <w:t xml:space="preserve">No passphrase recovery mechanism — data is unrecoverable if the passphrase is lost, consistent with a genuine zero-knowledge architecture</w:t>
      </w:r>
    </w:p>
    <w:p>
      <w:pPr>
        <w:pStyle w:val="ListParagraph"/>
        <w:numPr>
          <w:ilvl w:val="0"/>
          <w:numId w:val="2"/>
        </w:numPr>
        <w:spacing w:after="90" w:line="264"/>
      </w:pPr>
      <w:r>
        <w:rPr>
          <w:sz w:val="22"/>
          <w:szCs w:val="22"/>
        </w:rPr>
        <w:t xml:space="preserve">No note sharing or multi-user collaboration</w:t>
      </w:r>
    </w:p>
    <w:p>
      <w:pPr>
        <w:pStyle w:val="ListParagraph"/>
        <w:numPr>
          <w:ilvl w:val="0"/>
          <w:numId w:val="2"/>
        </w:numPr>
        <w:spacing w:after="90" w:line="264"/>
      </w:pPr>
      <w:r>
        <w:rPr>
          <w:sz w:val="22"/>
          <w:szCs w:val="22"/>
        </w:rPr>
        <w:t xml:space="preserve">No full-text search over encrypted content, as this would require either on-device full decryption or a searchable-encryption scheme, both out of scope for the current phase</w:t>
      </w:r>
    </w:p>
    <w:p>
      <w:pPr>
        <w:pStyle w:val="Heading1"/>
        <w:pBdr>
          <w:bottom w:val="single" w:color="1F3A5F" w:sz="6" w:space="4"/>
        </w:pBdr>
        <w:spacing w:after="200" w:before="400"/>
      </w:pPr>
      <w:r>
        <w:rPr>
          <w:b/>
          <w:bCs/>
          <w:color w:val="1F3A5F"/>
          <w:sz w:val="30"/>
          <w:szCs w:val="30"/>
        </w:rPr>
        <w:t xml:space="preserve">7. Wearable Sync &amp; Email Event Extraction — Detailed Specification</w:t>
      </w:r>
    </w:p>
    <w:p>
      <w:pPr>
        <w:pStyle w:val="Heading2"/>
        <w:spacing w:after="140" w:before="280"/>
      </w:pPr>
      <w:r>
        <w:rPr>
          <w:b/>
          <w:bCs/>
          <w:color w:val="2E6F8E"/>
          <w:sz w:val="24"/>
          <w:szCs w:val="24"/>
        </w:rPr>
        <w:t xml:space="preserve">7.1 Wearable Sync</w:t>
      </w:r>
    </w:p>
    <w:p>
      <w:pPr>
        <w:pStyle w:val="ListParagraph"/>
        <w:numPr>
          <w:ilvl w:val="0"/>
          <w:numId w:val="2"/>
        </w:numPr>
        <w:spacing w:after="90" w:line="264"/>
      </w:pPr>
      <w:r>
        <w:rPr>
          <w:sz w:val="22"/>
          <w:szCs w:val="22"/>
        </w:rPr>
        <w:t xml:space="preserve">Data sourced from Apple HealthKit (iOS) and Health Connect (Android) as primary sources, with Fitbit/Google Fit Web APIs as a fallback for unsupported devices</w:t>
      </w:r>
    </w:p>
    <w:p>
      <w:pPr>
        <w:pStyle w:val="ListParagraph"/>
        <w:numPr>
          <w:ilvl w:val="0"/>
          <w:numId w:val="2"/>
        </w:numPr>
        <w:spacing w:after="90" w:line="264"/>
      </w:pPr>
      <w:r>
        <w:rPr>
          <w:sz w:val="22"/>
          <w:szCs w:val="22"/>
        </w:rPr>
        <w:t xml:space="preserve">Synced metrics: steps, heart rate, workouts, active energy, sleep duration</w:t>
      </w:r>
    </w:p>
    <w:p>
      <w:pPr>
        <w:pStyle w:val="ListParagraph"/>
        <w:numPr>
          <w:ilvl w:val="0"/>
          <w:numId w:val="2"/>
        </w:numPr>
        <w:spacing w:after="90" w:line="264"/>
      </w:pPr>
      <w:r>
        <w:rPr>
          <w:sz w:val="22"/>
          <w:szCs w:val="22"/>
        </w:rPr>
        <w:t xml:space="preserve">Sync is scheduled via background fetch on-device plus a periodic backend reconciliation job</w:t>
      </w:r>
    </w:p>
    <w:p>
      <w:pPr>
        <w:pStyle w:val="ListParagraph"/>
        <w:numPr>
          <w:ilvl w:val="0"/>
          <w:numId w:val="2"/>
        </w:numPr>
        <w:spacing w:after="90" w:line="264"/>
      </w:pPr>
      <w:r>
        <w:rPr>
          <w:sz w:val="22"/>
          <w:szCs w:val="22"/>
        </w:rPr>
        <w:t xml:space="preserve">Incoming wearable data automatically satisfies related Habit Tracker entries (e.g., a logged workout marks a “workout 3x/week” habit as complete for the day)</w:t>
      </w:r>
    </w:p>
    <w:p>
      <w:pPr>
        <w:pStyle w:val="Heading2"/>
        <w:spacing w:after="140" w:before="280"/>
      </w:pPr>
      <w:r>
        <w:rPr>
          <w:b/>
          <w:bCs/>
          <w:color w:val="2E6F8E"/>
          <w:sz w:val="24"/>
          <w:szCs w:val="24"/>
        </w:rPr>
        <w:t xml:space="preserve">7.2 Email Event Extraction</w:t>
      </w:r>
    </w:p>
    <w:p>
      <w:pPr>
        <w:pStyle w:val="ListParagraph"/>
        <w:numPr>
          <w:ilvl w:val="0"/>
          <w:numId w:val="2"/>
        </w:numPr>
        <w:spacing w:after="90" w:line="264"/>
      </w:pPr>
      <w:r>
        <w:rPr>
          <w:sz w:val="22"/>
          <w:szCs w:val="22"/>
        </w:rPr>
        <w:t xml:space="preserve">OAuth2-scoped, read-only access to Gmail and/or Outlook mailboxes — no email content is stored beyond what is needed for extraction</w:t>
      </w:r>
    </w:p>
    <w:p>
      <w:pPr>
        <w:pStyle w:val="ListParagraph"/>
        <w:numPr>
          <w:ilvl w:val="0"/>
          <w:numId w:val="2"/>
        </w:numPr>
        <w:spacing w:after="90" w:line="264"/>
      </w:pPr>
      <w:r>
        <w:rPr>
          <w:sz w:val="22"/>
          <w:szCs w:val="22"/>
        </w:rPr>
        <w:t xml:space="preserve">Background worker polls (or receives push notifications from) the mailbox provider for new messages</w:t>
      </w:r>
    </w:p>
    <w:p>
      <w:pPr>
        <w:pStyle w:val="ListParagraph"/>
        <w:numPr>
          <w:ilvl w:val="0"/>
          <w:numId w:val="2"/>
        </w:numPr>
        <w:spacing w:after="90" w:line="264"/>
      </w:pPr>
      <w:r>
        <w:rPr>
          <w:sz w:val="22"/>
          <w:szCs w:val="22"/>
        </w:rPr>
        <w:t xml:space="preserve">NLP-based extraction pipeline identifies candidate events (dates, times, locations, subjects) from email text</w:t>
      </w:r>
    </w:p>
    <w:p>
      <w:pPr>
        <w:pStyle w:val="ListParagraph"/>
        <w:numPr>
          <w:ilvl w:val="0"/>
          <w:numId w:val="2"/>
        </w:numPr>
        <w:spacing w:after="90" w:line="264"/>
      </w:pPr>
      <w:r>
        <w:rPr>
          <w:sz w:val="22"/>
          <w:szCs w:val="22"/>
        </w:rPr>
        <w:t xml:space="preserve">Extracted events are proposed to the user for confirmation before being added to the Calendar module — no event is silently auto-created without user review, to avoid false positives cluttering the calendar</w:t>
      </w:r>
    </w:p>
    <w:p>
      <w:pPr>
        <w:pStyle w:val="ListParagraph"/>
        <w:numPr>
          <w:ilvl w:val="0"/>
          <w:numId w:val="2"/>
        </w:numPr>
        <w:spacing w:after="90" w:line="264"/>
      </w:pPr>
      <w:r>
        <w:rPr>
          <w:sz w:val="22"/>
          <w:szCs w:val="22"/>
        </w:rPr>
        <w:t xml:space="preserve">Users can revoke mailbox access at any time from account settings, which immediately halts polling and deletes cached OAuth tokens</w:t>
      </w:r>
    </w:p>
    <w:p>
      <w:pPr>
        <w:pStyle w:val="Heading2"/>
        <w:spacing w:after="140" w:before="280"/>
      </w:pPr>
      <w:r>
        <w:rPr>
          <w:b/>
          <w:bCs/>
          <w:color w:val="2E6F8E"/>
          <w:sz w:val="24"/>
          <w:szCs w:val="24"/>
        </w:rPr>
        <w:t xml:space="preserve">7.3 Delivery Sequencing</w:t>
      </w:r>
    </w:p>
    <w:p>
      <w:pPr>
        <w:spacing w:after="160" w:line="276"/>
      </w:pPr>
      <w:r>
        <w:rPr>
          <w:sz w:val="22"/>
          <w:szCs w:val="22"/>
        </w:rPr>
        <w:t xml:space="preserve">Both integrations are included in the full build, but are sequenced independently in Phase 4 (see Section 9) so that a delay or blocker in one (e.g., Gmail API quota approval) does not hold up delivery of the other.</w:t>
      </w:r>
    </w:p>
    <w:p>
      <w:pPr>
        <w:pStyle w:val="Heading1"/>
        <w:pBdr>
          <w:bottom w:val="single" w:color="1F3A5F" w:sz="6" w:space="4"/>
        </w:pBdr>
        <w:spacing w:after="200" w:before="400"/>
      </w:pPr>
      <w:r>
        <w:rPr>
          <w:b/>
          <w:bCs/>
          <w:color w:val="1F3A5F"/>
          <w:sz w:val="30"/>
          <w:szCs w:val="30"/>
        </w:rPr>
        <w:t xml:space="preserve">8. Meal Logging &amp; Water Tracking — Detailed Specification</w:t>
      </w:r>
    </w:p>
    <w:p>
      <w:pPr>
        <w:pStyle w:val="Heading2"/>
        <w:spacing w:after="140" w:before="280"/>
      </w:pPr>
      <w:r>
        <w:rPr>
          <w:b/>
          <w:bCs/>
          <w:color w:val="2E6F8E"/>
          <w:sz w:val="24"/>
          <w:szCs w:val="24"/>
        </w:rPr>
        <w:t xml:space="preserve">8.1 Purpose</w:t>
      </w:r>
    </w:p>
    <w:p>
      <w:pPr>
        <w:spacing w:after="160" w:line="276"/>
      </w:pPr>
      <w:r>
        <w:rPr>
          <w:sz w:val="22"/>
          <w:szCs w:val="22"/>
        </w:rPr>
        <w:t xml:space="preserve">Extends the Fitness &amp; Nutrition Tracker (Section 4.1) with camera-based meal recognition and a lightweight water-intake logger, reducing the manual data-entry burden that typically causes users to abandon nutrition tracking.</w:t>
      </w:r>
    </w:p>
    <w:p>
      <w:pPr>
        <w:pStyle w:val="Heading2"/>
        <w:spacing w:after="140" w:before="280"/>
      </w:pPr>
      <w:r>
        <w:rPr>
          <w:b/>
          <w:bCs/>
          <w:color w:val="2E6F8E"/>
          <w:sz w:val="24"/>
          <w:szCs w:val="24"/>
        </w:rPr>
        <w:t xml:space="preserve">8.2 Camera-Based Meal Recognition</w:t>
      </w:r>
    </w:p>
    <w:p>
      <w:pPr>
        <w:spacing w:after="160" w:line="276"/>
      </w:pPr>
      <w:r>
        <w:rPr>
          <w:sz w:val="22"/>
          <w:szCs w:val="22"/>
        </w:rPr>
        <w:t xml:space="preserve">Users capture a photo of a meal instead of manually searching for and entering each food item. The pipeline performs:</w:t>
      </w:r>
    </w:p>
    <w:p>
      <w:pPr>
        <w:pStyle w:val="ListParagraph"/>
        <w:numPr>
          <w:ilvl w:val="0"/>
          <w:numId w:val="2"/>
        </w:numPr>
        <w:spacing w:after="90" w:line="264"/>
      </w:pPr>
      <w:r>
        <w:rPr>
          <w:sz w:val="22"/>
          <w:szCs w:val="22"/>
        </w:rPr>
        <w:t xml:space="preserve">Food recognition — an image-classification model (on-device for common items, backend model for a broader food database) identifies the dish(es) present in the photo, supporting multi-item plates</w:t>
      </w:r>
    </w:p>
    <w:p>
      <w:pPr>
        <w:pStyle w:val="ListParagraph"/>
        <w:numPr>
          <w:ilvl w:val="0"/>
          <w:numId w:val="2"/>
        </w:numPr>
        <w:spacing w:after="90" w:line="264"/>
      </w:pPr>
      <w:r>
        <w:rPr>
          <w:sz w:val="22"/>
          <w:szCs w:val="22"/>
        </w:rPr>
        <w:t xml:space="preserve">Portion-size estimation — reference-object/plate-scale and depth-estimation heuristics approximate volume/weight from the 2D image; the user can manually adjust the estimated portion before confirming</w:t>
      </w:r>
    </w:p>
    <w:p>
      <w:pPr>
        <w:pStyle w:val="ListParagraph"/>
        <w:numPr>
          <w:ilvl w:val="0"/>
          <w:numId w:val="2"/>
        </w:numPr>
        <w:spacing w:after="90" w:line="264"/>
      </w:pPr>
      <w:r>
        <w:rPr>
          <w:sz w:val="22"/>
          <w:szCs w:val="22"/>
        </w:rPr>
        <w:t xml:space="preserve">Macro/micro lookup — recognized items are matched against a nutrition database (e.g., USDA FoodData Central / Open Food Facts via API) to retrieve calories, macronutrients (protein, carbs, fat), and key micronutrients scaled to the estimated portion</w:t>
      </w:r>
    </w:p>
    <w:p>
      <w:pPr>
        <w:pStyle w:val="ListParagraph"/>
        <w:numPr>
          <w:ilvl w:val="0"/>
          <w:numId w:val="2"/>
        </w:numPr>
        <w:spacing w:after="90" w:line="264"/>
      </w:pPr>
      <w:r>
        <w:rPr>
          <w:sz w:val="22"/>
          <w:szCs w:val="22"/>
        </w:rPr>
        <w:t xml:space="preserve">Confirmation step — as with email event extraction (Section 7.2), recognized items and computed nutrition values are presented to the user for confirmation/correction before being committed to the log, so misrecognitions do not silently corrupt nutrition history</w:t>
      </w:r>
    </w:p>
    <w:p>
      <w:pPr>
        <w:pStyle w:val="Heading2"/>
        <w:spacing w:after="140" w:before="280"/>
      </w:pPr>
      <w:r>
        <w:rPr>
          <w:b/>
          <w:bCs/>
          <w:color w:val="2E6F8E"/>
          <w:sz w:val="24"/>
          <w:szCs w:val="24"/>
        </w:rPr>
        <w:t xml:space="preserve">8.3 Brand-Level Nutrition Selection</w:t>
      </w:r>
    </w:p>
    <w:p>
      <w:pPr>
        <w:spacing w:after="160" w:line="276"/>
      </w:pPr>
      <w:r>
        <w:rPr>
          <w:sz w:val="22"/>
          <w:szCs w:val="22"/>
        </w:rPr>
        <w:t xml:space="preserve">Because packaged/branded ingredients (e.g., milk, bread, yogurt) can vary meaningfully in macro and micronutrient content between brands, the meal logger allows brand-level refinement of recognized items:</w:t>
      </w:r>
    </w:p>
    <w:p>
      <w:pPr>
        <w:pStyle w:val="ListParagraph"/>
        <w:numPr>
          <w:ilvl w:val="0"/>
          <w:numId w:val="2"/>
        </w:numPr>
        <w:spacing w:after="90" w:line="264"/>
      </w:pPr>
      <w:r>
        <w:rPr>
          <w:sz w:val="22"/>
          <w:szCs w:val="22"/>
        </w:rPr>
        <w:t xml:space="preserve">For each recognized ingredient with known brand variants, the app surfaces a brand-selection list (e.g., for milk: Amul, Gyan, Frubon, etc.), sourced from the nutrition database or a curated regional brand dataset</w:t>
      </w:r>
    </w:p>
    <w:p>
      <w:pPr>
        <w:pStyle w:val="ListParagraph"/>
        <w:numPr>
          <w:ilvl w:val="0"/>
          <w:numId w:val="2"/>
        </w:numPr>
        <w:spacing w:after="90" w:line="264"/>
      </w:pPr>
      <w:r>
        <w:rPr>
          <w:sz w:val="22"/>
          <w:szCs w:val="22"/>
        </w:rPr>
        <w:t xml:space="preserve">Selecting a brand replaces the generic nutrition estimate with that brand’s label values for the matched item</w:t>
      </w:r>
    </w:p>
    <w:p>
      <w:pPr>
        <w:pStyle w:val="ListParagraph"/>
        <w:numPr>
          <w:ilvl w:val="0"/>
          <w:numId w:val="2"/>
        </w:numPr>
        <w:spacing w:after="90" w:line="264"/>
      </w:pPr>
      <w:r>
        <w:rPr>
          <w:sz w:val="22"/>
          <w:szCs w:val="22"/>
        </w:rPr>
        <w:t xml:space="preserve">"Unknown / not sure" option — when the user does not know or cannot find the brand, the app falls back to a generic estimate: an average of nutrition values across common brands/preparations of that item (or a standard reference value such as USDA generic entry), clearly labeled as an approximation</w:t>
      </w:r>
    </w:p>
    <w:p>
      <w:pPr>
        <w:pStyle w:val="ListParagraph"/>
        <w:numPr>
          <w:ilvl w:val="0"/>
          <w:numId w:val="2"/>
        </w:numPr>
        <w:spacing w:after="90" w:line="264"/>
      </w:pPr>
      <w:r>
        <w:rPr>
          <w:sz w:val="22"/>
          <w:szCs w:val="22"/>
        </w:rPr>
        <w:t xml:space="preserve">Brand selections are remembered per-ingredient per-user (similar to the Finance Tracker merchant-category learning) so recurring meals do not require re-selection each time</w:t>
      </w:r>
    </w:p>
    <w:p>
      <w:pPr>
        <w:pStyle w:val="Heading2"/>
        <w:spacing w:after="140" w:before="280"/>
      </w:pPr>
      <w:r>
        <w:rPr>
          <w:b/>
          <w:bCs/>
          <w:color w:val="2E6F8E"/>
          <w:sz w:val="24"/>
          <w:szCs w:val="24"/>
        </w:rPr>
        <w:t xml:space="preserve">8.4 Water Logging</w:t>
      </w:r>
    </w:p>
    <w:p>
      <w:pPr>
        <w:spacing w:after="160" w:line="276"/>
      </w:pPr>
      <w:r>
        <w:rPr>
          <w:sz w:val="22"/>
          <w:szCs w:val="22"/>
        </w:rPr>
        <w:t xml:space="preserve">A lightweight companion feature to meal logging, tracking daily hydration alongside nutrition:</w:t>
      </w:r>
    </w:p>
    <w:p>
      <w:pPr>
        <w:pStyle w:val="ListParagraph"/>
        <w:numPr>
          <w:ilvl w:val="0"/>
          <w:numId w:val="2"/>
        </w:numPr>
        <w:spacing w:after="90" w:line="264"/>
      </w:pPr>
      <w:r>
        <w:rPr>
          <w:sz w:val="22"/>
          <w:szCs w:val="22"/>
        </w:rPr>
        <w:t xml:space="preserve">Quick-add controls for common volumes (glass, bottle, custom amount) with one-tap logging from the home dashboard</w:t>
      </w:r>
    </w:p>
    <w:p>
      <w:pPr>
        <w:pStyle w:val="ListParagraph"/>
        <w:numPr>
          <w:ilvl w:val="0"/>
          <w:numId w:val="2"/>
        </w:numPr>
        <w:spacing w:after="90" w:line="264"/>
      </w:pPr>
      <w:r>
        <w:rPr>
          <w:sz w:val="22"/>
          <w:szCs w:val="22"/>
        </w:rPr>
        <w:t xml:space="preserve">Daily water-intake target (user-set or computed from body weight/activity level) with progress shown alongside macro/calorie progress</w:t>
      </w:r>
    </w:p>
    <w:p>
      <w:pPr>
        <w:pStyle w:val="ListParagraph"/>
        <w:numPr>
          <w:ilvl w:val="0"/>
          <w:numId w:val="2"/>
        </w:numPr>
        <w:spacing w:after="90" w:line="264"/>
      </w:pPr>
      <w:r>
        <w:rPr>
          <w:sz w:val="22"/>
          <w:szCs w:val="22"/>
        </w:rPr>
        <w:t xml:space="preserve">Reminders/nudges to log water at configurable intervals, using the same native push-notification mechanism as Calendar &amp; Reminders (Section 4.1)</w:t>
      </w:r>
    </w:p>
    <w:p>
      <w:pPr>
        <w:pStyle w:val="ListParagraph"/>
        <w:numPr>
          <w:ilvl w:val="0"/>
          <w:numId w:val="2"/>
        </w:numPr>
        <w:spacing w:after="90" w:line="264"/>
      </w:pPr>
      <w:r>
        <w:rPr>
          <w:sz w:val="22"/>
          <w:szCs w:val="22"/>
        </w:rPr>
        <w:t xml:space="preserve">Water entries stored as their own lightweight log type (timestamp, volume, unit), following the same offline-first local-write-then-sync pattern as all other logging modules</w:t>
      </w:r>
    </w:p>
    <w:p>
      <w:pPr>
        <w:pStyle w:val="Heading2"/>
        <w:spacing w:after="140" w:before="280"/>
      </w:pPr>
      <w:r>
        <w:rPr>
          <w:b/>
          <w:bCs/>
          <w:color w:val="2E6F8E"/>
          <w:sz w:val="24"/>
          <w:szCs w:val="24"/>
        </w:rPr>
        <w:t xml:space="preserve">8.5 Data Model (Additions)</w:t>
      </w:r>
    </w:p>
    <w:p>
      <w:pPr>
        <w:spacing w:after="160" w:line="276"/>
      </w:pPr>
      <w:r>
        <w:rPr>
          <w:sz w:val="22"/>
          <w:szCs w:val="22"/>
        </w:rPr>
        <w:t xml:space="preserve">MealLog: id, user_id, photo_ref, recognized_items[], portion_estimates[], brand_selections[], macro_totals, micro_totals, source (camera | manual), confirmed_at, created_at</w:t>
      </w:r>
    </w:p>
    <w:p>
      <w:pPr>
        <w:spacing w:after="160" w:line="276"/>
      </w:pPr>
      <w:r>
        <w:rPr>
          <w:sz w:val="22"/>
          <w:szCs w:val="22"/>
        </w:rPr>
        <w:t xml:space="preserve">WaterLog: id, user_id, volume_ml, logged_at</w:t>
      </w:r>
    </w:p>
    <w:p>
      <w:pPr>
        <w:spacing w:after="160" w:line="276"/>
      </w:pPr>
      <w:r>
        <w:rPr>
          <w:sz w:val="22"/>
          <w:szCs w:val="22"/>
        </w:rPr>
        <w:t xml:space="preserve">BrandNutritionProfile: id, food_item, brand_name, macro_profile, micro_profile, region (optional)</w:t>
      </w:r>
    </w:p>
    <w:p>
      <w:pPr>
        <w:pStyle w:val="Heading2"/>
        <w:spacing w:after="140" w:before="280"/>
      </w:pPr>
      <w:r>
        <w:rPr>
          <w:b/>
          <w:bCs/>
          <w:color w:val="2E6F8E"/>
          <w:sz w:val="24"/>
          <w:szCs w:val="24"/>
        </w:rPr>
        <w:t xml:space="preserve">8.6 Explicit Scope Boundaries</w:t>
      </w:r>
    </w:p>
    <w:p>
      <w:pPr>
        <w:pStyle w:val="ListParagraph"/>
        <w:numPr>
          <w:ilvl w:val="0"/>
          <w:numId w:val="2"/>
        </w:numPr>
        <w:spacing w:after="90" w:line="264"/>
      </w:pPr>
      <w:r>
        <w:rPr>
          <w:sz w:val="22"/>
          <w:szCs w:val="22"/>
        </w:rPr>
        <w:t xml:space="preserve">Portion-size estimation from a single 2D photo is approximate by nature; the app surfaces the estimate as adjustable rather than authoritative</w:t>
      </w:r>
    </w:p>
    <w:p>
      <w:pPr>
        <w:pStyle w:val="ListParagraph"/>
        <w:numPr>
          <w:ilvl w:val="0"/>
          <w:numId w:val="2"/>
        </w:numPr>
        <w:spacing w:after="90" w:line="264"/>
      </w:pPr>
      <w:r>
        <w:rPr>
          <w:sz w:val="22"/>
          <w:szCs w:val="22"/>
        </w:rPr>
        <w:t xml:space="preserve">Brand-nutrition coverage depends on database/API availability and is expected to be strongest for common packaged staples (milk, bread, oils) rather than home-cooked dishes</w:t>
      </w:r>
    </w:p>
    <w:p>
      <w:pPr>
        <w:pStyle w:val="ListParagraph"/>
        <w:numPr>
          <w:ilvl w:val="0"/>
          <w:numId w:val="2"/>
        </w:numPr>
        <w:spacing w:after="90" w:line="264"/>
      </w:pPr>
      <w:r>
        <w:rPr>
          <w:sz w:val="22"/>
          <w:szCs w:val="22"/>
        </w:rPr>
        <w:t xml:space="preserve">No barcode scanning in the initial scope — brand selection is via search/list, not package scanning (candidate for a future phase)</w:t>
      </w:r>
    </w:p>
    <w:p>
      <w:pPr>
        <w:pStyle w:val="Heading1"/>
        <w:pBdr>
          <w:bottom w:val="single" w:color="1F3A5F" w:sz="6" w:space="4"/>
        </w:pBdr>
        <w:spacing w:after="200" w:before="400"/>
      </w:pPr>
      <w:r>
        <w:t>8.7 Feature Scope &amp; Implementation Boundaries</w:t>
      </w:r>
    </w:p>
    <w:p>
      <w:pPr>
        <w:pStyle w:val="ListParagraph"/>
        <w:numPr>
          <w:ilvl w:val="0"/>
          <w:numId w:val="2"/>
        </w:numPr>
        <w:spacing w:after="90" w:line="264"/>
      </w:pPr>
      <w:r>
        <w:t>• Autopay is a scheduling, tracking, calendar, reminder, and reconciliation feature in the current scope; LifeHub does not directly move money or initiate bank transactions.</w:t>
      </w:r>
    </w:p>
    <w:p>
      <w:pPr>
        <w:pStyle w:val="ListParagraph"/>
        <w:numPr>
          <w:ilvl w:val="0"/>
          <w:numId w:val="2"/>
        </w:numPr>
        <w:spacing w:after="90" w:line="264"/>
      </w:pPr>
      <w:r>
        <w:t>• Phone usage statistics depend on operating-system permissions and APIs. The application must gracefully handle unavailable metrics or restricted platform capabilities.</w:t>
      </w:r>
    </w:p>
    <w:p>
      <w:pPr>
        <w:pStyle w:val="ListParagraph"/>
        <w:numPr>
          <w:ilvl w:val="0"/>
          <w:numId w:val="2"/>
        </w:numPr>
        <w:spacing w:after="90" w:line="264"/>
      </w:pPr>
      <w:r>
        <w:t>• Budget calculations must distinguish planned budget, fixed/committed obligations, actual recorded spending, usable budget, and remaining budget to avoid double-counting.</w:t>
      </w:r>
    </w:p>
    <w:p>
      <w:pPr>
        <w:pStyle w:val="ListParagraph"/>
        <w:numPr>
          <w:ilvl w:val="0"/>
          <w:numId w:val="2"/>
        </w:numPr>
        <w:spacing w:after="90" w:line="264"/>
      </w:pPr>
      <w:r>
        <w:t>• Recurring payment definitions and individual scheduled occurrences should be stored separately so historical records remain accurate when future schedules change.</w:t>
      </w:r>
    </w:p>
    <w:p>
      <w:pPr>
        <w:pStyle w:val="ListParagraph"/>
        <w:numPr>
          <w:ilvl w:val="0"/>
          <w:numId w:val="2"/>
        </w:numPr>
        <w:spacing w:after="90" w:line="264"/>
      </w:pPr>
      <w:r>
        <w:t>• Calendar generation for recurring payments should be idempotent and retain a stable link between each payment occurrence and its Calendar event.</w:t>
      </w:r>
    </w:p>
    <w:p>
      <w:pPr>
        <w:pStyle w:val="Heading1"/>
        <w:pBdr>
          <w:bottom w:val="single" w:color="1F3A5F" w:sz="6" w:space="4"/>
        </w:pBdr>
        <w:spacing w:after="200" w:before="400"/>
      </w:pPr>
      <w:r>
        <w:rPr>
          <w:b/>
          <w:bCs/>
          <w:color w:val="1F3A5F"/>
          <w:sz w:val="30"/>
          <w:szCs w:val="30"/>
        </w:rPr>
        <w:t xml:space="preserve">9. Development Phases &amp; Milestones</w:t>
      </w:r>
    </w:p>
    <w:p>
      <w:pPr>
        <w:pStyle w:val="Heading2"/>
        <w:spacing w:after="140" w:before="280"/>
      </w:pPr>
      <w:r>
        <w:rPr>
          <w:b/>
          <w:bCs/>
          <w:color w:val="2E6F8E"/>
          <w:sz w:val="24"/>
          <w:szCs w:val="24"/>
        </w:rPr>
        <w:t xml:space="preserve">Phase 1 — Foundation (Weeks 1–3)</w:t>
      </w:r>
    </w:p>
    <w:p>
      <w:pPr>
        <w:pStyle w:val="ListParagraph"/>
        <w:numPr>
          <w:ilvl w:val="0"/>
          <w:numId w:val="2"/>
        </w:numPr>
        <w:spacing w:after="90" w:line="264"/>
      </w:pPr>
      <w:r>
        <w:rPr>
          <w:sz w:val="22"/>
          <w:szCs w:val="22"/>
        </w:rPr>
        <w:t xml:space="preserve">Mobile app scaffold (React Native + Expo), navigation shell, design system setup</w:t>
      </w:r>
    </w:p>
    <w:p>
      <w:pPr>
        <w:pStyle w:val="ListParagraph"/>
        <w:numPr>
          <w:ilvl w:val="0"/>
          <w:numId w:val="2"/>
        </w:numPr>
        <w:spacing w:after="90" w:line="264"/>
      </w:pPr>
      <w:r>
        <w:rPr>
          <w:sz w:val="22"/>
          <w:szCs w:val="22"/>
        </w:rPr>
        <w:t xml:space="preserve">Repository setup, CI/CD pipeline, containerized backend local environment</w:t>
      </w:r>
    </w:p>
    <w:p>
      <w:pPr>
        <w:pStyle w:val="ListParagraph"/>
        <w:numPr>
          <w:ilvl w:val="0"/>
          <w:numId w:val="2"/>
        </w:numPr>
        <w:spacing w:after="90" w:line="264"/>
      </w:pPr>
      <w:r>
        <w:rPr>
          <w:sz w:val="22"/>
          <w:szCs w:val="22"/>
        </w:rPr>
        <w:t xml:space="preserve">Auth &amp; User Management module (mobile + backend)</w:t>
      </w:r>
    </w:p>
    <w:p>
      <w:pPr>
        <w:pStyle w:val="ListParagraph"/>
        <w:numPr>
          <w:ilvl w:val="0"/>
          <w:numId w:val="2"/>
        </w:numPr>
        <w:spacing w:after="90" w:line="264"/>
      </w:pPr>
      <w:r>
        <w:rPr>
          <w:sz w:val="22"/>
          <w:szCs w:val="22"/>
        </w:rPr>
        <w:t xml:space="preserve">Finance Tracker module (CRUD + monthly analytics)</w:t>
      </w:r>
    </w:p>
    <w:p>
      <w:pPr>
        <w:pStyle w:val="ListParagraph"/>
        <w:numPr>
          <w:ilvl w:val="0"/>
          <w:numId w:val="2"/>
        </w:numPr>
        <w:spacing w:after="90" w:line="264"/>
      </w:pPr>
      <w:r>
        <w:t>• Monthly budgeting, budget-versus-actual dashboard, fixed monthly payments, and usable/remaining budget calculations</w:t>
      </w:r>
    </w:p>
    <w:p>
      <w:pPr>
        <w:pStyle w:val="ListParagraph"/>
        <w:numPr>
          <w:ilvl w:val="0"/>
          <w:numId w:val="2"/>
        </w:numPr>
        <w:spacing w:after="90" w:line="264"/>
      </w:pPr>
      <w:r>
        <w:rPr>
          <w:sz w:val="22"/>
          <w:szCs w:val="22"/>
        </w:rPr>
        <w:t xml:space="preserve">Calendar &amp; Reminders module with native push notifications</w:t>
      </w:r>
    </w:p>
    <w:p>
      <w:pPr>
        <w:pStyle w:val="ListParagraph"/>
        <w:numPr>
          <w:ilvl w:val="0"/>
          <w:numId w:val="2"/>
        </w:numPr>
        <w:spacing w:after="90" w:line="264"/>
      </w:pPr>
      <w:r>
        <w:t>• Validate platform permissions and API feasibility for Phone Usage Statistics early in development</w:t>
      </w:r>
    </w:p>
    <w:p>
      <w:pPr>
        <w:pStyle w:val="ListParagraph"/>
        <w:numPr>
          <w:ilvl w:val="0"/>
          <w:numId w:val="2"/>
        </w:numPr>
        <w:spacing w:after="90" w:line="264"/>
      </w:pPr>
      <w:r>
        <w:t>• Manual miscellaneous calendar events, categories/tags, completion state, and reminders</w:t>
      </w:r>
    </w:p>
    <w:p>
      <w:pPr>
        <w:spacing w:after="160" w:line="276"/>
      </w:pPr>
      <w:r>
        <w:rPr>
          <w:i/>
          <w:iCs/>
          <w:color w:val="595959"/>
          <w:sz w:val="22"/>
          <w:szCs w:val="22"/>
        </w:rPr>
        <w:t xml:space="preserve">Milestone: authenticated users can log transactions and view calendar events on-device, including offline.</w:t>
      </w:r>
    </w:p>
    <w:p>
      <w:pPr>
        <w:pStyle w:val="Heading2"/>
        <w:spacing w:after="140" w:before="280"/>
      </w:pPr>
      <w:r>
        <w:rPr>
          <w:b/>
          <w:bCs/>
          <w:color w:val="2E6F8E"/>
          <w:sz w:val="24"/>
          <w:szCs w:val="24"/>
        </w:rPr>
        <w:t xml:space="preserve">Phase 2 — Behavioral Tracking (Weeks 4–6)</w:t>
      </w:r>
    </w:p>
    <w:p>
      <w:pPr>
        <w:pStyle w:val="ListParagraph"/>
        <w:numPr>
          <w:ilvl w:val="0"/>
          <w:numId w:val="2"/>
        </w:numPr>
        <w:spacing w:after="90" w:line="264"/>
      </w:pPr>
      <w:r>
        <w:rPr>
          <w:sz w:val="22"/>
          <w:szCs w:val="22"/>
        </w:rPr>
        <w:t xml:space="preserve">Fitness &amp; Nutrition Tracker module</w:t>
      </w:r>
    </w:p>
    <w:p>
      <w:pPr>
        <w:pStyle w:val="ListParagraph"/>
        <w:numPr>
          <w:ilvl w:val="0"/>
          <w:numId w:val="2"/>
        </w:numPr>
        <w:spacing w:after="90" w:line="264"/>
      </w:pPr>
      <w:r>
        <w:rPr>
          <w:sz w:val="22"/>
          <w:szCs w:val="22"/>
        </w:rPr>
        <w:t xml:space="preserve">Habit &amp; Routine Tracker module, including streak/heatmap logic</w:t>
      </w:r>
    </w:p>
    <w:p>
      <w:pPr>
        <w:pStyle w:val="ListParagraph"/>
        <w:numPr>
          <w:ilvl w:val="0"/>
          <w:numId w:val="2"/>
        </w:numPr>
        <w:spacing w:after="90" w:line="264"/>
      </w:pPr>
      <w:r>
        <w:t>• Habit timer/stopwatch with persistent timed-session logging and duration analytics</w:t>
      </w:r>
    </w:p>
    <w:p>
      <w:pPr>
        <w:pStyle w:val="ListParagraph"/>
        <w:numPr>
          <w:ilvl w:val="0"/>
          <w:numId w:val="2"/>
        </w:numPr>
        <w:spacing w:after="90" w:line="264"/>
      </w:pPr>
      <w:r>
        <w:rPr>
          <w:sz w:val="22"/>
          <w:szCs w:val="22"/>
        </w:rPr>
        <w:t xml:space="preserve">Local offline-first data layer (SQLite/WatermelonDB) and sync engine implementation</w:t>
      </w:r>
    </w:p>
    <w:p>
      <w:pPr>
        <w:pStyle w:val="ListParagraph"/>
        <w:numPr>
          <w:ilvl w:val="0"/>
          <w:numId w:val="2"/>
        </w:numPr>
        <w:spacing w:after="90" w:line="264"/>
      </w:pPr>
      <w:r>
        <w:rPr>
          <w:sz w:val="22"/>
          <w:szCs w:val="22"/>
        </w:rPr>
        <w:t xml:space="preserve">Cross-module event bus: workout completion auto-updates related habits</w:t>
      </w:r>
    </w:p>
    <w:p>
      <w:pPr>
        <w:spacing w:after="160" w:line="276"/>
      </w:pPr>
      <w:r>
        <w:rPr>
          <w:i/>
          <w:iCs/>
          <w:color w:val="595959"/>
          <w:sz w:val="22"/>
          <w:szCs w:val="22"/>
        </w:rPr>
        <w:t xml:space="preserve">Milestone: dashboard reflects live fitness, nutrition, and habit data with offline support and cross-module linkage.</w:t>
      </w:r>
    </w:p>
    <w:p>
      <w:pPr>
        <w:pStyle w:val="Heading2"/>
        <w:spacing w:after="140" w:before="280"/>
      </w:pPr>
      <w:r>
        <w:rPr>
          <w:b/>
          <w:bCs/>
          <w:color w:val="2E6F8E"/>
          <w:sz w:val="24"/>
          <w:szCs w:val="24"/>
        </w:rPr>
        <w:t xml:space="preserve">Phase 3 — Extended Utility Modules (Weeks 7–8)</w:t>
      </w:r>
    </w:p>
    <w:p>
      <w:pPr>
        <w:pStyle w:val="ListParagraph"/>
        <w:numPr>
          <w:ilvl w:val="0"/>
          <w:numId w:val="2"/>
        </w:numPr>
        <w:spacing w:after="90" w:line="264"/>
      </w:pPr>
      <w:r>
        <w:rPr>
          <w:sz w:val="22"/>
          <w:szCs w:val="22"/>
        </w:rPr>
        <w:t xml:space="preserve">Journal / Notes module</w:t>
      </w:r>
    </w:p>
    <w:p>
      <w:pPr>
        <w:pStyle w:val="ListParagraph"/>
        <w:numPr>
          <w:ilvl w:val="0"/>
          <w:numId w:val="2"/>
        </w:numPr>
        <w:spacing w:after="90" w:line="264"/>
      </w:pPr>
      <w:r>
        <w:rPr>
          <w:sz w:val="22"/>
          <w:szCs w:val="22"/>
        </w:rPr>
        <w:t xml:space="preserve">Bookmarks / Quick-Launch module</w:t>
      </w:r>
    </w:p>
    <w:p>
      <w:pPr>
        <w:pStyle w:val="ListParagraph"/>
        <w:numPr>
          <w:ilvl w:val="0"/>
          <w:numId w:val="2"/>
        </w:numPr>
        <w:spacing w:after="90" w:line="264"/>
      </w:pPr>
      <w:r>
        <w:rPr>
          <w:sz w:val="22"/>
          <w:szCs w:val="22"/>
        </w:rPr>
        <w:t xml:space="preserve">Encrypted Notes module, including on-device encryption pipeline and secure key storage</w:t>
      </w:r>
    </w:p>
    <w:p>
      <w:pPr>
        <w:spacing w:after="160" w:line="276"/>
      </w:pPr>
      <w:r>
        <w:rPr>
          <w:i/>
          <w:iCs/>
          <w:color w:val="595959"/>
          <w:sz w:val="22"/>
          <w:szCs w:val="22"/>
        </w:rPr>
        <w:t xml:space="preserve">Milestone: full utility feature set complete; security review of encrypted notes pipeline conducted.</w:t>
      </w:r>
    </w:p>
    <w:p>
      <w:pPr>
        <w:pStyle w:val="Heading2"/>
        <w:spacing w:after="140" w:before="280"/>
      </w:pPr>
      <w:r>
        <w:rPr>
          <w:b/>
          <w:bCs/>
          <w:color w:val="2E6F8E"/>
          <w:sz w:val="24"/>
          <w:szCs w:val="24"/>
        </w:rPr>
        <w:t xml:space="preserve">Phase 4 — External Integrations &amp; Polish (Weeks 9–11)</w:t>
      </w:r>
    </w:p>
    <w:p>
      <w:pPr>
        <w:pStyle w:val="ListParagraph"/>
        <w:numPr>
          <w:ilvl w:val="0"/>
          <w:numId w:val="2"/>
        </w:numPr>
        <w:spacing w:after="90" w:line="264"/>
      </w:pPr>
      <w:r>
        <w:rPr>
          <w:sz w:val="22"/>
          <w:szCs w:val="22"/>
        </w:rPr>
        <w:t xml:space="preserve">Wearable Sync: HealthKit / Health Connect integration, Fitbit fallback, background sync jobs</w:t>
      </w:r>
    </w:p>
    <w:p>
      <w:pPr>
        <w:pStyle w:val="ListParagraph"/>
        <w:numPr>
          <w:ilvl w:val="0"/>
          <w:numId w:val="2"/>
        </w:numPr>
        <w:spacing w:after="90" w:line="264"/>
      </w:pPr>
      <w:r>
        <w:rPr>
          <w:sz w:val="22"/>
          <w:szCs w:val="22"/>
        </w:rPr>
        <w:t xml:space="preserve">Email Event Extraction: Gmail and Outlook OAuth2 integration, NLP event-detection pipeline, user-confirmation flow</w:t>
      </w:r>
    </w:p>
    <w:p>
      <w:pPr>
        <w:pStyle w:val="ListParagraph"/>
        <w:numPr>
          <w:ilvl w:val="0"/>
          <w:numId w:val="2"/>
        </w:numPr>
        <w:spacing w:after="90" w:line="264"/>
      </w:pPr>
      <w:r>
        <w:rPr>
          <w:sz w:val="22"/>
          <w:szCs w:val="22"/>
        </w:rPr>
        <w:t xml:space="preserve">Unified home dashboard aggregating all module data</w:t>
      </w:r>
    </w:p>
    <w:p>
      <w:pPr>
        <w:pStyle w:val="ListParagraph"/>
        <w:numPr>
          <w:ilvl w:val="0"/>
          <w:numId w:val="2"/>
        </w:numPr>
        <w:spacing w:after="90" w:line="264"/>
      </w:pPr>
      <w:r>
        <w:t>• Phone Usage Statistics dashboard with total screen time, app-wise breakdowns, category summaries, and usage trends</w:t>
      </w:r>
    </w:p>
    <w:p>
      <w:pPr>
        <w:pStyle w:val="ListParagraph"/>
        <w:numPr>
          <w:ilvl w:val="0"/>
          <w:numId w:val="2"/>
        </w:numPr>
        <w:spacing w:after="90" w:line="264"/>
      </w:pPr>
      <w:r>
        <w:rPr>
          <w:sz w:val="22"/>
          <w:szCs w:val="22"/>
        </w:rPr>
        <w:t xml:space="preserve">Performance testing, UI polish, documentation finalization, demo preparation</w:t>
      </w:r>
    </w:p>
    <w:p>
      <w:pPr>
        <w:spacing w:after="160" w:line="276"/>
      </w:pPr>
      <w:r>
        <w:rPr>
          <w:i/>
          <w:iCs/>
          <w:color w:val="595959"/>
          <w:sz w:val="22"/>
          <w:szCs w:val="22"/>
        </w:rPr>
        <w:t xml:space="preserve">Milestone: feature-complete build with both external integrations live, ready for evaluation and demonstration.</w:t>
      </w:r>
    </w:p>
    <w:p>
      <w:pPr>
        <w:pStyle w:val="Heading2"/>
        <w:spacing w:after="140" w:before="280"/>
      </w:pPr>
      <w:r>
        <w:t>9.1 Phase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2995"/>
        <w:gridCol w:w="5242"/>
      </w:tblGrid>
      <w:tr>
        <w:trPr>
          <w:tblHeader/>
        </w:trPr>
        <w:tc>
          <w:tcPr>
            <w:shd w:fill="1F3A5F" w:color="auto" w:val="clear"/>
            <w:tcMar>
              <w:top w:type="dxa" w:w="100"/>
              <w:left w:type="dxa" w:w="120"/>
              <w:bottom w:type="dxa" w:w="100"/>
              <w:right w:type="dxa" w:w="120"/>
            </w:tcMar>
            <w:vAlign w:val="center"/>
          </w:tcPr>
          <w:p>
            <w:r>
              <w:rPr>
                <w:b/>
                <w:bCs/>
                <w:color w:val="FFFFFF"/>
                <w:sz w:val="20"/>
                <w:szCs w:val="20"/>
              </w:rPr>
              <w:t xml:space="preserve">Phase</w:t>
            </w:r>
          </w:p>
        </w:tc>
        <w:tc>
          <w:tcPr>
            <w:shd w:fill="1F3A5F" w:color="auto" w:val="clear"/>
            <w:tcMar>
              <w:top w:type="dxa" w:w="100"/>
              <w:left w:type="dxa" w:w="120"/>
              <w:bottom w:type="dxa" w:w="100"/>
              <w:right w:type="dxa" w:w="120"/>
            </w:tcMar>
            <w:vAlign w:val="center"/>
          </w:tcPr>
          <w:p>
            <w:r>
              <w:rPr>
                <w:b/>
                <w:bCs/>
                <w:color w:val="FFFFFF"/>
                <w:sz w:val="20"/>
                <w:szCs w:val="20"/>
              </w:rPr>
              <w:t xml:space="preserve">Focus</w:t>
            </w:r>
          </w:p>
        </w:tc>
        <w:tc>
          <w:tcPr>
            <w:shd w:fill="1F3A5F" w:color="auto" w:val="clear"/>
            <w:tcMar>
              <w:top w:type="dxa" w:w="100"/>
              <w:left w:type="dxa" w:w="120"/>
              <w:bottom w:type="dxa" w:w="100"/>
              <w:right w:type="dxa" w:w="120"/>
            </w:tcMar>
            <w:vAlign w:val="center"/>
          </w:tcPr>
          <w:p>
            <w:r>
              <w:rPr>
                <w:b/>
                <w:bCs/>
                <w:color w:val="FFFFFF"/>
                <w:sz w:val="20"/>
                <w:szCs w:val="20"/>
              </w:rPr>
              <w:t xml:space="preserve">Key Deliverable</w:t>
            </w:r>
          </w:p>
        </w:tc>
      </w:tr>
      <w:tr>
        <w:tc>
          <w:tcPr>
            <w:tcMar>
              <w:top w:type="dxa" w:w="90"/>
              <w:left w:type="dxa" w:w="120"/>
              <w:bottom w:type="dxa" w:w="90"/>
              <w:right w:type="dxa" w:w="120"/>
            </w:tcMar>
            <w:vAlign w:val="center"/>
          </w:tcPr>
          <w:p>
            <w:r>
              <w:rPr>
                <w:color w:val="222222"/>
                <w:sz w:val="22"/>
                <w:szCs w:val="22"/>
              </w:rPr>
              <w:t xml:space="preserve">1</w:t>
            </w:r>
          </w:p>
        </w:tc>
        <w:tc>
          <w:tcPr>
            <w:tcMar>
              <w:top w:type="dxa" w:w="90"/>
              <w:left w:type="dxa" w:w="120"/>
              <w:bottom w:type="dxa" w:w="90"/>
              <w:right w:type="dxa" w:w="120"/>
            </w:tcMar>
            <w:vAlign w:val="center"/>
          </w:tcPr>
          <w:p>
            <w:r>
              <w:rPr>
                <w:color w:val="222222"/>
                <w:sz w:val="22"/>
                <w:szCs w:val="22"/>
              </w:rPr>
              <w:t xml:space="preserve">Foundation</w:t>
            </w:r>
          </w:p>
        </w:tc>
        <w:tc>
          <w:tcPr>
            <w:tcMar>
              <w:top w:type="dxa" w:w="90"/>
              <w:left w:type="dxa" w:w="120"/>
              <w:bottom w:type="dxa" w:w="90"/>
              <w:right w:type="dxa" w:w="120"/>
            </w:tcMar>
            <w:vAlign w:val="center"/>
          </w:tcPr>
          <w:p>
            <w:r>
              <w:rPr>
                <w:color w:val="222222"/>
                <w:sz w:val="22"/>
                <w:szCs w:val="22"/>
              </w:rPr>
              <w:t xml:space="preserve">Auth, Finance, Calendar modules live on mobile</w:t>
            </w:r>
          </w:p>
        </w:tc>
      </w:tr>
      <w:tr>
        <w:tc>
          <w:tcPr>
            <w:shd w:fill="F7F9FA" w:color="auto" w:val="clear"/>
            <w:tcMar>
              <w:top w:type="dxa" w:w="90"/>
              <w:left w:type="dxa" w:w="120"/>
              <w:bottom w:type="dxa" w:w="90"/>
              <w:right w:type="dxa" w:w="120"/>
            </w:tcMar>
            <w:vAlign w:val="center"/>
          </w:tcPr>
          <w:p>
            <w:r>
              <w:rPr>
                <w:color w:val="222222"/>
                <w:sz w:val="22"/>
                <w:szCs w:val="22"/>
              </w:rPr>
              <w:t xml:space="preserve">2</w:t>
            </w:r>
          </w:p>
        </w:tc>
        <w:tc>
          <w:tcPr>
            <w:shd w:fill="F7F9FA" w:color="auto" w:val="clear"/>
            <w:tcMar>
              <w:top w:type="dxa" w:w="90"/>
              <w:left w:type="dxa" w:w="120"/>
              <w:bottom w:type="dxa" w:w="90"/>
              <w:right w:type="dxa" w:w="120"/>
            </w:tcMar>
            <w:vAlign w:val="center"/>
          </w:tcPr>
          <w:p>
            <w:r>
              <w:rPr>
                <w:color w:val="222222"/>
                <w:sz w:val="22"/>
                <w:szCs w:val="22"/>
              </w:rPr>
              <w:t xml:space="preserve">Behavioral tracking</w:t>
            </w:r>
          </w:p>
        </w:tc>
        <w:tc>
          <w:tcPr>
            <w:shd w:fill="F7F9FA" w:color="auto" w:val="clear"/>
            <w:tcMar>
              <w:top w:type="dxa" w:w="90"/>
              <w:left w:type="dxa" w:w="120"/>
              <w:bottom w:type="dxa" w:w="90"/>
              <w:right w:type="dxa" w:w="120"/>
            </w:tcMar>
            <w:vAlign w:val="center"/>
          </w:tcPr>
          <w:p>
            <w:r>
              <w:rPr>
                <w:color w:val="222222"/>
                <w:sz w:val="22"/>
                <w:szCs w:val="22"/>
              </w:rPr>
              <w:t xml:space="preserve">Fitness, Habit modules + offline sync + cross-module events</w:t>
            </w:r>
          </w:p>
        </w:tc>
      </w:tr>
      <w:tr>
        <w:tc>
          <w:tcPr>
            <w:tcMar>
              <w:top w:type="dxa" w:w="90"/>
              <w:left w:type="dxa" w:w="120"/>
              <w:bottom w:type="dxa" w:w="90"/>
              <w:right w:type="dxa" w:w="120"/>
            </w:tcMar>
            <w:vAlign w:val="center"/>
          </w:tcPr>
          <w:p>
            <w:r>
              <w:rPr>
                <w:color w:val="222222"/>
                <w:sz w:val="22"/>
                <w:szCs w:val="22"/>
              </w:rPr>
              <w:t xml:space="preserve">3</w:t>
            </w:r>
          </w:p>
        </w:tc>
        <w:tc>
          <w:tcPr>
            <w:tcMar>
              <w:top w:type="dxa" w:w="90"/>
              <w:left w:type="dxa" w:w="120"/>
              <w:bottom w:type="dxa" w:w="90"/>
              <w:right w:type="dxa" w:w="120"/>
            </w:tcMar>
            <w:vAlign w:val="center"/>
          </w:tcPr>
          <w:p>
            <w:r>
              <w:rPr>
                <w:color w:val="222222"/>
                <w:sz w:val="22"/>
                <w:szCs w:val="22"/>
              </w:rPr>
              <w:t xml:space="preserve">Extended utilities</w:t>
            </w:r>
          </w:p>
        </w:tc>
        <w:tc>
          <w:tcPr>
            <w:tcMar>
              <w:top w:type="dxa" w:w="90"/>
              <w:left w:type="dxa" w:w="120"/>
              <w:bottom w:type="dxa" w:w="90"/>
              <w:right w:type="dxa" w:w="120"/>
            </w:tcMar>
            <w:vAlign w:val="center"/>
          </w:tcPr>
          <w:p>
            <w:r>
              <w:rPr>
                <w:color w:val="222222"/>
                <w:sz w:val="22"/>
                <w:szCs w:val="22"/>
              </w:rPr>
              <w:t xml:space="preserve">Journal, Bookmarks, Encrypted Notes</w:t>
            </w:r>
          </w:p>
        </w:tc>
      </w:tr>
      <w:tr>
        <w:tc>
          <w:tcPr>
            <w:shd w:fill="F7F9FA" w:color="auto" w:val="clear"/>
            <w:tcMar>
              <w:top w:type="dxa" w:w="90"/>
              <w:left w:type="dxa" w:w="120"/>
              <w:bottom w:type="dxa" w:w="90"/>
              <w:right w:type="dxa" w:w="120"/>
            </w:tcMar>
            <w:vAlign w:val="center"/>
          </w:tcPr>
          <w:p>
            <w:r>
              <w:rPr>
                <w:color w:val="222222"/>
                <w:sz w:val="22"/>
                <w:szCs w:val="22"/>
              </w:rPr>
              <w:t xml:space="preserve">4</w:t>
            </w:r>
          </w:p>
        </w:tc>
        <w:tc>
          <w:tcPr>
            <w:shd w:fill="F7F9FA" w:color="auto" w:val="clear"/>
            <w:tcMar>
              <w:top w:type="dxa" w:w="90"/>
              <w:left w:type="dxa" w:w="120"/>
              <w:bottom w:type="dxa" w:w="90"/>
              <w:right w:type="dxa" w:w="120"/>
            </w:tcMar>
            <w:vAlign w:val="center"/>
          </w:tcPr>
          <w:p>
            <w:r>
              <w:rPr>
                <w:color w:val="222222"/>
                <w:sz w:val="22"/>
                <w:szCs w:val="22"/>
              </w:rPr>
              <w:t xml:space="preserve">Integrations &amp; polish</w:t>
            </w:r>
          </w:p>
        </w:tc>
        <w:tc>
          <w:tcPr>
            <w:shd w:fill="F7F9FA" w:color="auto" w:val="clear"/>
            <w:tcMar>
              <w:top w:type="dxa" w:w="90"/>
              <w:left w:type="dxa" w:w="120"/>
              <w:bottom w:type="dxa" w:w="90"/>
              <w:right w:type="dxa" w:w="120"/>
            </w:tcMar>
            <w:vAlign w:val="center"/>
          </w:tcPr>
          <w:p>
            <w:r>
              <w:rPr>
                <w:color w:val="222222"/>
                <w:sz w:val="22"/>
                <w:szCs w:val="22"/>
              </w:rPr>
              <w:t xml:space="preserve">Wearable sync + Email event extraction + unified dashboard</w:t>
            </w:r>
          </w:p>
        </w:tc>
      </w:tr>
    </w:tbl>
    <w:p>
      <w:pPr>
        <w:spacing w:after="160"/>
      </w:pPr>
    </w:p>
    <w:p>
      <w:pPr>
        <w:pStyle w:val="Heading1"/>
        <w:pBdr>
          <w:bottom w:val="single" w:color="1F3A5F" w:sz="6" w:space="4"/>
        </w:pBdr>
        <w:spacing w:after="200" w:before="400"/>
      </w:pPr>
      <w:r>
        <w:rPr>
          <w:b/>
          <w:bCs/>
          <w:color w:val="1F3A5F"/>
          <w:sz w:val="30"/>
          <w:szCs w:val="30"/>
        </w:rPr>
        <w:t xml:space="preserve">10.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310"/>
        <w:gridCol w:w="4867"/>
      </w:tblGrid>
      <w:tr>
        <w:trPr>
          <w:tblHeader/>
        </w:trPr>
        <w:tc>
          <w:tcPr>
            <w:shd w:fill="1F3A5F" w:color="auto" w:val="clear"/>
            <w:tcMar>
              <w:top w:type="dxa" w:w="100"/>
              <w:left w:type="dxa" w:w="120"/>
              <w:bottom w:type="dxa" w:w="100"/>
              <w:right w:type="dxa" w:w="120"/>
            </w:tcMar>
            <w:vAlign w:val="center"/>
          </w:tcPr>
          <w:p>
            <w:r>
              <w:rPr>
                <w:b/>
                <w:bCs/>
                <w:color w:val="FFFFFF"/>
                <w:sz w:val="20"/>
                <w:szCs w:val="20"/>
              </w:rPr>
              <w:t xml:space="preserve">Risk</w:t>
            </w:r>
          </w:p>
        </w:tc>
        <w:tc>
          <w:tcPr>
            <w:shd w:fill="1F3A5F" w:color="auto" w:val="clear"/>
            <w:tcMar>
              <w:top w:type="dxa" w:w="100"/>
              <w:left w:type="dxa" w:w="120"/>
              <w:bottom w:type="dxa" w:w="100"/>
              <w:right w:type="dxa" w:w="120"/>
            </w:tcMar>
            <w:vAlign w:val="center"/>
          </w:tcPr>
          <w:p>
            <w:r>
              <w:rPr>
                <w:b/>
                <w:bCs/>
                <w:color w:val="FFFFFF"/>
                <w:sz w:val="20"/>
                <w:szCs w:val="20"/>
              </w:rPr>
              <w:t xml:space="preserve">Impact</w:t>
            </w:r>
          </w:p>
        </w:tc>
        <w:tc>
          <w:tcPr>
            <w:shd w:fill="1F3A5F" w:color="auto" w:val="clear"/>
            <w:tcMar>
              <w:top w:type="dxa" w:w="100"/>
              <w:left w:type="dxa" w:w="120"/>
              <w:bottom w:type="dxa" w:w="100"/>
              <w:right w:type="dxa" w:w="120"/>
            </w:tcMar>
            <w:vAlign w:val="center"/>
          </w:tcPr>
          <w:p>
            <w:r>
              <w:rPr>
                <w:b/>
                <w:bCs/>
                <w:color w:val="FFFFFF"/>
                <w:sz w:val="20"/>
                <w:szCs w:val="20"/>
              </w:rPr>
              <w:t xml:space="preserve">Mitigation</w:t>
            </w:r>
          </w:p>
        </w:tc>
      </w:tr>
      <w:tr>
        <w:tc>
          <w:tcPr>
            <w:tcMar>
              <w:top w:type="dxa" w:w="90"/>
              <w:left w:type="dxa" w:w="120"/>
              <w:bottom w:type="dxa" w:w="90"/>
              <w:right w:type="dxa" w:w="120"/>
            </w:tcMar>
            <w:vAlign w:val="center"/>
          </w:tcPr>
          <w:p>
            <w:r>
              <w:rPr>
                <w:color w:val="222222"/>
                <w:sz w:val="22"/>
                <w:szCs w:val="22"/>
              </w:rPr>
              <w:t xml:space="preserve">Scope overrun across 9+ modules and 2 external integrations</w:t>
            </w:r>
          </w:p>
        </w:tc>
        <w:tc>
          <w:tcPr>
            <w:tcMar>
              <w:top w:type="dxa" w:w="90"/>
              <w:left w:type="dxa" w:w="120"/>
              <w:bottom w:type="dxa" w:w="90"/>
              <w:right w:type="dxa" w:w="120"/>
            </w:tcMar>
            <w:vAlign w:val="center"/>
          </w:tcPr>
          <w:p>
            <w:r>
              <w:rPr>
                <w:color w:val="222222"/>
                <w:sz w:val="22"/>
                <w:szCs w:val="22"/>
              </w:rPr>
              <w:t xml:space="preserve">High</w:t>
            </w:r>
          </w:p>
        </w:tc>
        <w:tc>
          <w:tcPr>
            <w:tcMar>
              <w:top w:type="dxa" w:w="90"/>
              <w:left w:type="dxa" w:w="120"/>
              <w:bottom w:type="dxa" w:w="90"/>
              <w:right w:type="dxa" w:w="120"/>
            </w:tcMar>
            <w:vAlign w:val="center"/>
          </w:tcPr>
          <w:p>
            <w:r>
              <w:rPr>
                <w:color w:val="222222"/>
                <w:sz w:val="22"/>
                <w:szCs w:val="22"/>
              </w:rPr>
              <w:t xml:space="preserve">Strict phase gating; wearable sync and email extraction built as independent, isolated features</w:t>
            </w:r>
          </w:p>
        </w:tc>
      </w:tr>
      <w:tr>
        <w:tc>
          <w:tcPr>
            <w:shd w:fill="F7F9FA" w:color="auto" w:val="clear"/>
            <w:tcMar>
              <w:top w:type="dxa" w:w="90"/>
              <w:left w:type="dxa" w:w="120"/>
              <w:bottom w:type="dxa" w:w="90"/>
              <w:right w:type="dxa" w:w="120"/>
            </w:tcMar>
            <w:vAlign w:val="center"/>
          </w:tcPr>
          <w:p>
            <w:r>
              <w:rPr>
                <w:color w:val="222222"/>
                <w:sz w:val="22"/>
                <w:szCs w:val="22"/>
              </w:rPr>
              <w:t xml:space="preserve">Cryptography implementation errors</w:t>
            </w:r>
          </w:p>
        </w:tc>
        <w:tc>
          <w:tcPr>
            <w:shd w:fill="F7F9FA" w:color="auto" w:val="clear"/>
            <w:tcMar>
              <w:top w:type="dxa" w:w="90"/>
              <w:left w:type="dxa" w:w="120"/>
              <w:bottom w:type="dxa" w:w="90"/>
              <w:right w:type="dxa" w:w="120"/>
            </w:tcMar>
            <w:vAlign w:val="center"/>
          </w:tcPr>
          <w:p>
            <w:r>
              <w:rPr>
                <w:color w:val="222222"/>
                <w:sz w:val="22"/>
                <w:szCs w:val="22"/>
              </w:rPr>
              <w:t xml:space="preserve">High</w:t>
            </w:r>
          </w:p>
        </w:tc>
        <w:tc>
          <w:tcPr>
            <w:shd w:fill="F7F9FA" w:color="auto" w:val="clear"/>
            <w:tcMar>
              <w:top w:type="dxa" w:w="90"/>
              <w:left w:type="dxa" w:w="120"/>
              <w:bottom w:type="dxa" w:w="90"/>
              <w:right w:type="dxa" w:w="120"/>
            </w:tcMar>
            <w:vAlign w:val="center"/>
          </w:tcPr>
          <w:p>
            <w:r>
              <w:rPr>
                <w:color w:val="222222"/>
                <w:sz w:val="22"/>
                <w:szCs w:val="22"/>
              </w:rPr>
              <w:t xml:space="preserve">Use only vetted libraries (native crypto APIs, Expo SecureStore); no custom crypto</w:t>
            </w:r>
          </w:p>
        </w:tc>
      </w:tr>
      <w:tr>
        <w:tc>
          <w:tcPr>
            <w:tcMar>
              <w:top w:type="dxa" w:w="90"/>
              <w:left w:type="dxa" w:w="120"/>
              <w:bottom w:type="dxa" w:w="90"/>
              <w:right w:type="dxa" w:w="120"/>
            </w:tcMar>
            <w:vAlign w:val="center"/>
          </w:tcPr>
          <w:p>
            <w:r>
              <w:rPr>
                <w:color w:val="222222"/>
                <w:sz w:val="22"/>
                <w:szCs w:val="22"/>
              </w:rPr>
              <w:t xml:space="preserve">Third-party API rate limits / approval delays (Gmail, HealthKit review, Fitbit)</w:t>
            </w:r>
          </w:p>
        </w:tc>
        <w:tc>
          <w:tcPr>
            <w:tcMar>
              <w:top w:type="dxa" w:w="90"/>
              <w:left w:type="dxa" w:w="120"/>
              <w:bottom w:type="dxa" w:w="90"/>
              <w:right w:type="dxa" w:w="120"/>
            </w:tcMar>
            <w:vAlign w:val="center"/>
          </w:tcPr>
          <w:p>
            <w:r>
              <w:rPr>
                <w:color w:val="222222"/>
                <w:sz w:val="22"/>
                <w:szCs w:val="22"/>
              </w:rPr>
              <w:t xml:space="preserve">Medium</w:t>
            </w:r>
          </w:p>
        </w:tc>
        <w:tc>
          <w:tcPr>
            <w:tcMar>
              <w:top w:type="dxa" w:w="90"/>
              <w:left w:type="dxa" w:w="120"/>
              <w:bottom w:type="dxa" w:w="90"/>
              <w:right w:type="dxa" w:w="120"/>
            </w:tcMar>
            <w:vAlign w:val="center"/>
          </w:tcPr>
          <w:p>
            <w:r>
              <w:rPr>
                <w:color w:val="222222"/>
                <w:sz w:val="22"/>
                <w:szCs w:val="22"/>
              </w:rPr>
              <w:t xml:space="preserve">Apply for API access early in Phase 1; async job queue with exponential backoff; webhook preference over polling</w:t>
            </w:r>
          </w:p>
        </w:tc>
      </w:tr>
      <w:tr>
        <w:tc>
          <w:tcPr>
            <w:shd w:fill="F7F9FA" w:color="auto" w:val="clear"/>
            <w:tcMar>
              <w:top w:type="dxa" w:w="90"/>
              <w:left w:type="dxa" w:w="120"/>
              <w:bottom w:type="dxa" w:w="90"/>
              <w:right w:type="dxa" w:w="120"/>
            </w:tcMar>
            <w:vAlign w:val="center"/>
          </w:tcPr>
          <w:p>
            <w:r>
              <w:rPr>
                <w:color w:val="222222"/>
                <w:sz w:val="22"/>
                <w:szCs w:val="22"/>
              </w:rPr>
              <w:t xml:space="preserve">Offline-sync data conflicts</w:t>
            </w:r>
          </w:p>
        </w:tc>
        <w:tc>
          <w:tcPr>
            <w:shd w:fill="F7F9FA" w:color="auto" w:val="clear"/>
            <w:tcMar>
              <w:top w:type="dxa" w:w="90"/>
              <w:left w:type="dxa" w:w="120"/>
              <w:bottom w:type="dxa" w:w="90"/>
              <w:right w:type="dxa" w:w="120"/>
            </w:tcMar>
            <w:vAlign w:val="center"/>
          </w:tcPr>
          <w:p>
            <w:r>
              <w:rPr>
                <w:color w:val="222222"/>
                <w:sz w:val="22"/>
                <w:szCs w:val="22"/>
              </w:rPr>
              <w:t xml:space="preserve">Medium</w:t>
            </w:r>
          </w:p>
        </w:tc>
        <w:tc>
          <w:tcPr>
            <w:shd w:fill="F7F9FA" w:color="auto" w:val="clear"/>
            <w:tcMar>
              <w:top w:type="dxa" w:w="90"/>
              <w:left w:type="dxa" w:w="120"/>
              <w:bottom w:type="dxa" w:w="90"/>
              <w:right w:type="dxa" w:w="120"/>
            </w:tcMar>
            <w:vAlign w:val="center"/>
          </w:tcPr>
          <w:p>
            <w:r>
              <w:rPr>
                <w:color w:val="222222"/>
                <w:sz w:val="22"/>
                <w:szCs w:val="22"/>
              </w:rPr>
              <w:t xml:space="preserve">Last-write-wins with timestamp-based conflict resolution; conflict log for manual review during testing</w:t>
            </w:r>
          </w:p>
        </w:tc>
      </w:tr>
      <w:tr>
        <w:tc>
          <w:tcPr>
            <w:tcMar>
              <w:top w:type="dxa" w:w="90"/>
              <w:left w:type="dxa" w:w="120"/>
              <w:bottom w:type="dxa" w:w="90"/>
              <w:right w:type="dxa" w:w="120"/>
            </w:tcMar>
            <w:vAlign w:val="center"/>
          </w:tcPr>
          <w:p>
            <w:r>
              <w:rPr>
                <w:color w:val="222222"/>
                <w:sz w:val="22"/>
                <w:szCs w:val="22"/>
              </w:rPr>
              <w:t xml:space="preserve">Data model coupling between modules</w:t>
            </w:r>
          </w:p>
        </w:tc>
        <w:tc>
          <w:tcPr>
            <w:tcMar>
              <w:top w:type="dxa" w:w="90"/>
              <w:left w:type="dxa" w:w="120"/>
              <w:bottom w:type="dxa" w:w="90"/>
              <w:right w:type="dxa" w:w="120"/>
            </w:tcMar>
            <w:vAlign w:val="center"/>
          </w:tcPr>
          <w:p>
            <w:r>
              <w:rPr>
                <w:color w:val="222222"/>
                <w:sz w:val="22"/>
                <w:szCs w:val="22"/>
              </w:rPr>
              <w:t xml:space="preserve">Medium</w:t>
            </w:r>
          </w:p>
        </w:tc>
        <w:tc>
          <w:tcPr>
            <w:tcMar>
              <w:top w:type="dxa" w:w="90"/>
              <w:left w:type="dxa" w:w="120"/>
              <w:bottom w:type="dxa" w:w="90"/>
              <w:right w:type="dxa" w:w="120"/>
            </w:tcMar>
            <w:vAlign w:val="center"/>
          </w:tcPr>
          <w:p>
            <w:r>
              <w:rPr>
                <w:color w:val="222222"/>
                <w:sz w:val="22"/>
                <w:szCs w:val="22"/>
              </w:rPr>
              <w:t xml:space="preserve">Event-driven communication instead of direct cross-module DB access</w:t>
            </w:r>
          </w:p>
        </w:tc>
      </w:tr>
      <w:tr>
        <w:tc>
          <w:tcPr>
            <w:shd w:fill="F7F9FA" w:color="auto" w:val="clear"/>
            <w:tcMar>
              <w:top w:type="dxa" w:w="90"/>
              <w:left w:type="dxa" w:w="120"/>
              <w:bottom w:type="dxa" w:w="90"/>
              <w:right w:type="dxa" w:w="120"/>
            </w:tcMar>
            <w:vAlign w:val="center"/>
          </w:tcPr>
          <w:p>
            <w:r>
              <w:rPr>
                <w:color w:val="222222"/>
                <w:sz w:val="22"/>
                <w:szCs w:val="22"/>
              </w:rPr>
              <w:t xml:space="preserve">Platform-specific health API differences (HealthKit vs. Health Connect)</w:t>
            </w:r>
          </w:p>
        </w:tc>
        <w:tc>
          <w:tcPr>
            <w:shd w:fill="F7F9FA" w:color="auto" w:val="clear"/>
            <w:tcMar>
              <w:top w:type="dxa" w:w="90"/>
              <w:left w:type="dxa" w:w="120"/>
              <w:bottom w:type="dxa" w:w="90"/>
              <w:right w:type="dxa" w:w="120"/>
            </w:tcMar>
            <w:vAlign w:val="center"/>
          </w:tcPr>
          <w:p>
            <w:r>
              <w:rPr>
                <w:color w:val="222222"/>
                <w:sz w:val="22"/>
                <w:szCs w:val="22"/>
              </w:rPr>
              <w:t xml:space="preserve">Medium</w:t>
            </w:r>
          </w:p>
        </w:tc>
        <w:tc>
          <w:tcPr>
            <w:shd w:fill="F7F9FA" w:color="auto" w:val="clear"/>
            <w:tcMar>
              <w:top w:type="dxa" w:w="90"/>
              <w:left w:type="dxa" w:w="120"/>
              <w:bottom w:type="dxa" w:w="90"/>
              <w:right w:type="dxa" w:w="120"/>
            </w:tcMar>
            <w:vAlign w:val="center"/>
          </w:tcPr>
          <w:p>
            <w:r>
              <w:rPr>
                <w:color w:val="222222"/>
                <w:sz w:val="22"/>
                <w:szCs w:val="22"/>
              </w:rPr>
              <w:t xml:space="preserve">Abstract behind a common internal HealthDataProvider interface</w:t>
            </w:r>
          </w:p>
        </w:tc>
      </w:tr>
      <w:tr>
        <w:tc>
          <w:tcPr>
            <w:tcW w:type="dxa" w:w="3182"/>
          </w:tcPr>
          <w:p>
            <w:r>
              <w:t>Platform-specific phone usage permissions / API restrictions</w:t>
            </w:r>
          </w:p>
        </w:tc>
        <w:tc>
          <w:tcPr>
            <w:tcW w:type="dxa" w:w="1310"/>
          </w:tcPr>
          <w:p>
            <w:r>
              <w:t>Medium</w:t>
            </w:r>
          </w:p>
        </w:tc>
        <w:tc>
          <w:tcPr>
            <w:tcW w:type="dxa" w:w="4867"/>
          </w:tcPr>
          <w:p>
            <w:r>
              <w:t>Use native APIs behind a common UsageDataProvider interface; request explicit permissions, explain data collection, gracefully degrade when metrics are unavailable, and avoid collecting unnecessary app content.</w:t>
            </w:r>
          </w:p>
        </w:tc>
      </w:tr>
      <w:tr>
        <w:tc>
          <w:tcPr>
            <w:tcW w:type="dxa" w:w="3182"/>
          </w:tcPr>
          <w:p>
            <w:r>
              <w:t>Budget calculations / recurring payment reconciliation errors</w:t>
            </w:r>
          </w:p>
        </w:tc>
        <w:tc>
          <w:tcPr>
            <w:tcW w:type="dxa" w:w="1310"/>
          </w:tcPr>
          <w:p>
            <w:r>
              <w:t>Medium</w:t>
            </w:r>
          </w:p>
        </w:tc>
        <w:tc>
          <w:tcPr>
            <w:tcW w:type="dxa" w:w="4867"/>
          </w:tcPr>
          <w:p>
            <w:r>
              <w:t>Keep budgets, fixed-payment definitions, payment schedules, and actual transactions separate; calculate dashboard metrics from explicit definitions; preserve historical records and reconciliation status.</w:t>
            </w:r>
          </w:p>
        </w:tc>
      </w:tr>
      <w:tr>
        <w:tc>
          <w:tcPr>
            <w:tcW w:type="dxa" w:w="3182"/>
          </w:tcPr>
          <w:p>
            <w:r>
              <w:t>Recurring payment/calendar duplication or drift</w:t>
            </w:r>
          </w:p>
        </w:tc>
        <w:tc>
          <w:tcPr>
            <w:tcW w:type="dxa" w:w="1310"/>
          </w:tcPr>
          <w:p>
            <w:r>
              <w:t>Medium</w:t>
            </w:r>
          </w:p>
        </w:tc>
        <w:tc>
          <w:tcPr>
            <w:tcW w:type="dxa" w:w="4867"/>
          </w:tcPr>
          <w:p>
            <w:r>
              <w:t>Use stable PaymentSchedule-to-CalendarEvent references, idempotent event generation, and reconciliation rules.</w:t>
            </w:r>
          </w:p>
        </w:tc>
      </w:tr>
      <w:tr>
        <w:tc>
          <w:tcPr>
            <w:tcW w:type="dxa" w:w="3182"/>
          </w:tcPr>
          <w:p>
            <w:r>
              <w:t>Platform limitations for phone usage statistics</w:t>
            </w:r>
          </w:p>
        </w:tc>
        <w:tc>
          <w:tcPr>
            <w:tcW w:type="dxa" w:w="1310"/>
          </w:tcPr>
          <w:p>
            <w:r>
              <w:t>Medium</w:t>
            </w:r>
          </w:p>
        </w:tc>
        <w:tc>
          <w:tcPr>
            <w:tcW w:type="dxa" w:w="4867"/>
          </w:tcPr>
          <w:p>
            <w:r>
              <w:t>Abstract device usage behind a UsageDataProvider interface, request explicit permissions, and gracefully degrade when APIs are unavailable.</w:t>
            </w:r>
          </w:p>
        </w:tc>
      </w:tr>
    </w:tbl>
    <w:p>
      <w:pPr>
        <w:spacing w:after="160"/>
      </w:pPr>
    </w:p>
    <w:p>
      <w:pPr>
        <w:pStyle w:val="Heading1"/>
        <w:pBdr>
          <w:bottom w:val="single" w:color="1F3A5F" w:sz="6" w:space="4"/>
        </w:pBdr>
        <w:spacing w:after="200" w:before="400"/>
      </w:pPr>
      <w:r>
        <w:rPr>
          <w:b/>
          <w:bCs/>
          <w:color w:val="1F3A5F"/>
          <w:sz w:val="30"/>
          <w:szCs w:val="30"/>
        </w:rPr>
        <w:t xml:space="preserve">11. Conclusion</w:t>
      </w:r>
    </w:p>
    <w:p>
      <w:pPr>
        <w:spacing w:after="160" w:line="276"/>
      </w:pPr>
      <w:r>
        <w:t>LifeHub, as a mobile-first platform, demonstrates a professionally structured approach to building a multi-domain personal management application: an offline-first React Native client backed by a modular monolith service, native health, email, and permitted device-usage integrations, a security-conscious design for sensitive data, and a phased delivery plan. The Finance module combines transaction tracking with monthly budgeting, fixed-payment planning, Autopay scheduling, and Calendar integration; the Habit module supports timed activities; the Calendar supports manual miscellaneous trackable events; and the Phone Usage module provides app-level and screen-time analytics where the platform permits access. Together these features make LifeHub a unified system for financial planning, behavioral tracking, scheduling, productivity, and digital-wellbeing analytics.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LifeHub — Technical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2026-09-15T13:24:09.321Z</dcterms:created>
  <dcterms:modified xsi:type="dcterms:W3CDTF">2026-09-15T13:24:09.321Z</dcterms:modified>
  <dc:title>LifeHub — Technical Design Document</dc:title>
  <dc:subject>Unified Personal Life-Management Mobile Application</dc:subject>
  <dc:description>Optimized LifeHub specification with expanded finance, calendar, habit, and device-usage features.</dc:description>
</cp:coreProperties>
</file>

<file path=docProps/custom.xml><?xml version="1.0" encoding="utf-8"?>
<Properties xmlns="http://schemas.openxmlformats.org/officeDocument/2006/custom-properties" xmlns:vt="http://schemas.openxmlformats.org/officeDocument/2006/docPropsVTypes"/>
</file>