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95"/>
        <w:gridCol w:w="1640"/>
        <w:gridCol w:w="2124"/>
        <w:gridCol w:w="2510"/>
        <w:gridCol w:w="2147"/>
      </w:tblGrid>
      <w:tr w:rsidR="00354AAC" w:rsidRPr="00354AAC" w14:paraId="11303C88" w14:textId="77777777" w:rsidTr="00354AAC">
        <w:tc>
          <w:tcPr>
            <w:tcW w:w="0" w:type="auto"/>
            <w:hideMark/>
          </w:tcPr>
          <w:p w14:paraId="6E548703" w14:textId="77777777" w:rsidR="00354AAC" w:rsidRPr="00354AAC" w:rsidRDefault="00354AAC" w:rsidP="00354AAC">
            <w:pPr>
              <w:spacing w:after="160" w:line="278" w:lineRule="auto"/>
              <w:rPr>
                <w:b/>
                <w:bCs/>
              </w:rPr>
            </w:pPr>
            <w:r w:rsidRPr="00354AA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BCC69B0" w14:textId="77777777" w:rsidR="00354AAC" w:rsidRPr="00354AAC" w:rsidRDefault="00354AAC" w:rsidP="00354AAC">
            <w:pPr>
              <w:spacing w:after="160" w:line="278" w:lineRule="auto"/>
              <w:rPr>
                <w:b/>
                <w:bCs/>
              </w:rPr>
            </w:pPr>
            <w:r w:rsidRPr="00354AAC">
              <w:rPr>
                <w:b/>
                <w:bCs/>
              </w:rPr>
              <w:t>Title (Year)</w:t>
            </w:r>
          </w:p>
        </w:tc>
        <w:tc>
          <w:tcPr>
            <w:tcW w:w="0" w:type="auto"/>
            <w:hideMark/>
          </w:tcPr>
          <w:p w14:paraId="2BFF587C" w14:textId="77777777" w:rsidR="00354AAC" w:rsidRPr="00354AAC" w:rsidRDefault="00354AAC" w:rsidP="00354AAC">
            <w:pPr>
              <w:spacing w:after="160" w:line="278" w:lineRule="auto"/>
              <w:rPr>
                <w:b/>
                <w:bCs/>
              </w:rPr>
            </w:pPr>
            <w:r w:rsidRPr="00354AAC">
              <w:rPr>
                <w:b/>
                <w:bCs/>
              </w:rPr>
              <w:t>Signals in Title/Abstract</w:t>
            </w:r>
          </w:p>
        </w:tc>
        <w:tc>
          <w:tcPr>
            <w:tcW w:w="0" w:type="auto"/>
            <w:hideMark/>
          </w:tcPr>
          <w:p w14:paraId="7DF254D3" w14:textId="77777777" w:rsidR="00354AAC" w:rsidRPr="00354AAC" w:rsidRDefault="00354AAC" w:rsidP="00354AAC">
            <w:pPr>
              <w:spacing w:after="160" w:line="278" w:lineRule="auto"/>
              <w:rPr>
                <w:b/>
                <w:bCs/>
              </w:rPr>
            </w:pPr>
            <w:r w:rsidRPr="00354AAC">
              <w:rPr>
                <w:b/>
                <w:bCs/>
              </w:rPr>
              <w:t>Why It Was Missed</w:t>
            </w:r>
          </w:p>
        </w:tc>
        <w:tc>
          <w:tcPr>
            <w:tcW w:w="0" w:type="auto"/>
            <w:hideMark/>
          </w:tcPr>
          <w:p w14:paraId="54AD234E" w14:textId="77777777" w:rsidR="00354AAC" w:rsidRPr="00354AAC" w:rsidRDefault="00354AAC" w:rsidP="00354AAC">
            <w:pPr>
              <w:spacing w:after="160" w:line="278" w:lineRule="auto"/>
              <w:rPr>
                <w:b/>
                <w:bCs/>
              </w:rPr>
            </w:pPr>
            <w:r w:rsidRPr="00354AAC">
              <w:rPr>
                <w:b/>
                <w:bCs/>
              </w:rPr>
              <w:t>Stage-3 Decision</w:t>
            </w:r>
          </w:p>
        </w:tc>
      </w:tr>
      <w:tr w:rsidR="00354AAC" w:rsidRPr="00354AAC" w14:paraId="36496893" w14:textId="77777777" w:rsidTr="00354AAC">
        <w:tc>
          <w:tcPr>
            <w:tcW w:w="0" w:type="auto"/>
            <w:hideMark/>
          </w:tcPr>
          <w:p w14:paraId="028EF50B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J503</w:t>
            </w:r>
          </w:p>
        </w:tc>
        <w:tc>
          <w:tcPr>
            <w:tcW w:w="0" w:type="auto"/>
            <w:hideMark/>
          </w:tcPr>
          <w:p w14:paraId="415B4CF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Thyroid hormone therapy for subclinical hypothyroidism in pregnancy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66A53CE8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 xml:space="preserve">Mentions </w:t>
            </w:r>
            <w:r w:rsidRPr="00354AAC">
              <w:rPr>
                <w:b/>
                <w:bCs/>
              </w:rPr>
              <w:t>pregnancy</w:t>
            </w:r>
            <w:r w:rsidRPr="00354AAC">
              <w:t xml:space="preserve">, </w:t>
            </w:r>
            <w:r w:rsidRPr="00354AAC">
              <w:rPr>
                <w:b/>
                <w:bCs/>
              </w:rPr>
              <w:t>antenatal care</w:t>
            </w:r>
            <w:r w:rsidRPr="00354AAC">
              <w:t>, clinical RCTs, obstetric outcomes.</w:t>
            </w:r>
          </w:p>
        </w:tc>
        <w:tc>
          <w:tcPr>
            <w:tcW w:w="0" w:type="auto"/>
            <w:hideMark/>
          </w:tcPr>
          <w:p w14:paraId="6C1E8D8F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No direct NHS/UK keyword; generic “pregnancy” context could look like population-level rather than clinical care.</w:t>
            </w:r>
          </w:p>
        </w:tc>
        <w:tc>
          <w:tcPr>
            <w:tcW w:w="0" w:type="auto"/>
            <w:hideMark/>
          </w:tcPr>
          <w:p w14:paraId="6B299BC3" w14:textId="37A3AAE4" w:rsidR="00354AAC" w:rsidRPr="00354AAC" w:rsidRDefault="00354AAC" w:rsidP="00354AAC">
            <w:pPr>
              <w:spacing w:after="160" w:line="278" w:lineRule="auto"/>
            </w:pPr>
            <w:r>
              <w:rPr>
                <w:rFonts w:ascii="Segoe UI Emoji" w:hAnsi="Segoe UI Emoji" w:cs="Segoe UI Emoji"/>
              </w:rPr>
              <w:t>I</w:t>
            </w:r>
            <w:r w:rsidRPr="00354AAC">
              <w:t>nclude – antenatal care is a healthcare setting.</w:t>
            </w:r>
          </w:p>
        </w:tc>
      </w:tr>
      <w:tr w:rsidR="00354AAC" w:rsidRPr="00354AAC" w14:paraId="039C5A5C" w14:textId="77777777" w:rsidTr="00354AAC">
        <w:tc>
          <w:tcPr>
            <w:tcW w:w="0" w:type="auto"/>
            <w:hideMark/>
          </w:tcPr>
          <w:p w14:paraId="393D960F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J506</w:t>
            </w:r>
          </w:p>
        </w:tc>
        <w:tc>
          <w:tcPr>
            <w:tcW w:w="0" w:type="auto"/>
            <w:hideMark/>
          </w:tcPr>
          <w:p w14:paraId="0AB2A24E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Cervical assessment by ultrasound for preventing preterm delivery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0209508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Ultrasound cervical length screening, antenatal management, RCTs.</w:t>
            </w:r>
          </w:p>
        </w:tc>
        <w:tc>
          <w:tcPr>
            <w:tcW w:w="0" w:type="auto"/>
            <w:hideMark/>
          </w:tcPr>
          <w:p w14:paraId="3A63C5E7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Framed as methodological/systematic review; lacks overt NHS/UK signals.</w:t>
            </w:r>
          </w:p>
        </w:tc>
        <w:tc>
          <w:tcPr>
            <w:tcW w:w="0" w:type="auto"/>
            <w:hideMark/>
          </w:tcPr>
          <w:p w14:paraId="20AC0DDB" w14:textId="4DA14A94" w:rsidR="00354AAC" w:rsidRPr="00354AAC" w:rsidRDefault="00354AAC" w:rsidP="00354AAC">
            <w:pPr>
              <w:spacing w:after="160" w:line="278" w:lineRule="auto"/>
            </w:pPr>
            <w:r w:rsidRPr="00354AAC">
              <w:t>Include – ultrasound cervical assessment is a healthcare service.</w:t>
            </w:r>
          </w:p>
        </w:tc>
      </w:tr>
      <w:tr w:rsidR="00354AAC" w:rsidRPr="00354AAC" w14:paraId="1BCD2183" w14:textId="77777777" w:rsidTr="00354AAC">
        <w:tc>
          <w:tcPr>
            <w:tcW w:w="0" w:type="auto"/>
            <w:hideMark/>
          </w:tcPr>
          <w:p w14:paraId="2043400F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J507</w:t>
            </w:r>
          </w:p>
        </w:tc>
        <w:tc>
          <w:tcPr>
            <w:tcW w:w="0" w:type="auto"/>
            <w:hideMark/>
          </w:tcPr>
          <w:p w14:paraId="4EFD419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HPV vaccine types and dose schedules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64CAE66B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Focuses on HPV vaccination, includes RCTs with adolescents, immunisation programmes.</w:t>
            </w:r>
          </w:p>
        </w:tc>
        <w:tc>
          <w:tcPr>
            <w:tcW w:w="0" w:type="auto"/>
            <w:hideMark/>
          </w:tcPr>
          <w:p w14:paraId="56F69486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Read as general vaccination trials, not linked to NHS delivery.</w:t>
            </w:r>
          </w:p>
        </w:tc>
        <w:tc>
          <w:tcPr>
            <w:tcW w:w="0" w:type="auto"/>
            <w:hideMark/>
          </w:tcPr>
          <w:p w14:paraId="4CACC9F9" w14:textId="33C4D652" w:rsidR="00354AAC" w:rsidRPr="00354AAC" w:rsidRDefault="00354AAC" w:rsidP="00354AAC">
            <w:pPr>
              <w:spacing w:after="160" w:line="278" w:lineRule="auto"/>
            </w:pPr>
            <w:r w:rsidRPr="00354AAC">
              <w:t>Include – immunisation is delivered in healthcare/public health settings.</w:t>
            </w:r>
          </w:p>
        </w:tc>
      </w:tr>
      <w:tr w:rsidR="00354AAC" w:rsidRPr="00354AAC" w14:paraId="44DC4A3F" w14:textId="77777777" w:rsidTr="00354AAC">
        <w:tc>
          <w:tcPr>
            <w:tcW w:w="0" w:type="auto"/>
            <w:hideMark/>
          </w:tcPr>
          <w:p w14:paraId="278B6014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J510</w:t>
            </w:r>
          </w:p>
        </w:tc>
        <w:tc>
          <w:tcPr>
            <w:tcW w:w="0" w:type="auto"/>
            <w:hideMark/>
          </w:tcPr>
          <w:p w14:paraId="28F1AFAA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Treatment for hepatorenal syndrome in people with decompensated liver cirrhosis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5AECE2C6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Trials on albumin + drugs, TIPS, MARS; hospital patients with cirrhosis.</w:t>
            </w:r>
          </w:p>
        </w:tc>
        <w:tc>
          <w:tcPr>
            <w:tcW w:w="0" w:type="auto"/>
            <w:hideMark/>
          </w:tcPr>
          <w:p w14:paraId="4CC4B3D9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Focused on pharmacological comparisons, so setting not explicit.</w:t>
            </w:r>
          </w:p>
        </w:tc>
        <w:tc>
          <w:tcPr>
            <w:tcW w:w="0" w:type="auto"/>
            <w:hideMark/>
          </w:tcPr>
          <w:p w14:paraId="31347795" w14:textId="0FB14F8F" w:rsidR="00354AAC" w:rsidRPr="00354AAC" w:rsidRDefault="00354AAC" w:rsidP="00354AAC">
            <w:pPr>
              <w:spacing w:after="160" w:line="278" w:lineRule="auto"/>
            </w:pPr>
            <w:r w:rsidRPr="00354AAC">
              <w:t>Include – inpatient hospital management.</w:t>
            </w:r>
          </w:p>
        </w:tc>
      </w:tr>
      <w:tr w:rsidR="00354AAC" w:rsidRPr="00354AAC" w14:paraId="043F0924" w14:textId="77777777" w:rsidTr="00354AAC">
        <w:tc>
          <w:tcPr>
            <w:tcW w:w="0" w:type="auto"/>
            <w:hideMark/>
          </w:tcPr>
          <w:p w14:paraId="521938CA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J513</w:t>
            </w:r>
          </w:p>
        </w:tc>
        <w:tc>
          <w:tcPr>
            <w:tcW w:w="0" w:type="auto"/>
            <w:hideMark/>
          </w:tcPr>
          <w:p w14:paraId="2CA4786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Once-daily vs multiple-daily dosing of aminoglycosides for cystic fibrosis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3CAC954F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IV antibiotics for CF exacerbations, lung function outcomes.</w:t>
            </w:r>
          </w:p>
        </w:tc>
        <w:tc>
          <w:tcPr>
            <w:tcW w:w="0" w:type="auto"/>
            <w:hideMark/>
          </w:tcPr>
          <w:p w14:paraId="43E8DBE1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No explicit “NHS/hospital” mention; abstract emphasises regimen.</w:t>
            </w:r>
          </w:p>
        </w:tc>
        <w:tc>
          <w:tcPr>
            <w:tcW w:w="0" w:type="auto"/>
            <w:hideMark/>
          </w:tcPr>
          <w:p w14:paraId="57481AF5" w14:textId="17C297A7" w:rsidR="00354AAC" w:rsidRPr="00354AAC" w:rsidRDefault="00354AAC" w:rsidP="00354AAC">
            <w:pPr>
              <w:spacing w:after="160" w:line="278" w:lineRule="auto"/>
            </w:pPr>
            <w:r w:rsidRPr="00354AAC">
              <w:t>Include – requires hospital care, inpatient or specialist outpatient.</w:t>
            </w:r>
          </w:p>
        </w:tc>
      </w:tr>
      <w:tr w:rsidR="00354AAC" w:rsidRPr="00354AAC" w14:paraId="2D662596" w14:textId="77777777" w:rsidTr="00354AAC">
        <w:tc>
          <w:tcPr>
            <w:tcW w:w="0" w:type="auto"/>
            <w:hideMark/>
          </w:tcPr>
          <w:p w14:paraId="014E5F48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J516</w:t>
            </w:r>
          </w:p>
        </w:tc>
        <w:tc>
          <w:tcPr>
            <w:tcW w:w="0" w:type="auto"/>
            <w:hideMark/>
          </w:tcPr>
          <w:p w14:paraId="36A9FF49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Mixed exercise training for adults with fibromyalgia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32B35ADB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Exercise programmes, supervised interventions, physiotherapy context.</w:t>
            </w:r>
          </w:p>
        </w:tc>
        <w:tc>
          <w:tcPr>
            <w:tcW w:w="0" w:type="auto"/>
            <w:hideMark/>
          </w:tcPr>
          <w:p w14:paraId="25B13F81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Looks like lifestyle/exercise study; may not trigger as “healthcare.”</w:t>
            </w:r>
          </w:p>
        </w:tc>
        <w:tc>
          <w:tcPr>
            <w:tcW w:w="0" w:type="auto"/>
            <w:hideMark/>
          </w:tcPr>
          <w:p w14:paraId="1BDDF755" w14:textId="156FA6FC" w:rsidR="00354AAC" w:rsidRPr="00354AAC" w:rsidRDefault="00354AAC" w:rsidP="00354AAC">
            <w:pPr>
              <w:spacing w:after="160" w:line="278" w:lineRule="auto"/>
            </w:pPr>
            <w:r w:rsidRPr="00354AAC">
              <w:t>Include – supervised physiotherapy/exercise is healthcare delivery.</w:t>
            </w:r>
          </w:p>
        </w:tc>
      </w:tr>
      <w:tr w:rsidR="00354AAC" w:rsidRPr="00354AAC" w14:paraId="23106851" w14:textId="77777777" w:rsidTr="00354AAC">
        <w:tc>
          <w:tcPr>
            <w:tcW w:w="0" w:type="auto"/>
            <w:hideMark/>
          </w:tcPr>
          <w:p w14:paraId="42BCBDB0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J525</w:t>
            </w:r>
          </w:p>
        </w:tc>
        <w:tc>
          <w:tcPr>
            <w:tcW w:w="0" w:type="auto"/>
            <w:hideMark/>
          </w:tcPr>
          <w:p w14:paraId="5DC5ECBE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Balance Screening for Fall Risk… British Cohort Study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0D180CC5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 xml:space="preserve">Explicitly </w:t>
            </w:r>
            <w:r w:rsidRPr="00354AAC">
              <w:rPr>
                <w:b/>
                <w:bCs/>
              </w:rPr>
              <w:t>British cohort</w:t>
            </w:r>
            <w:r w:rsidRPr="00354AAC">
              <w:t>, balance tests, fall risk outcomes.</w:t>
            </w:r>
          </w:p>
        </w:tc>
        <w:tc>
          <w:tcPr>
            <w:tcW w:w="0" w:type="auto"/>
            <w:hideMark/>
          </w:tcPr>
          <w:p w14:paraId="6EAE8993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Read as “population cohort” rather than healthcare screening.</w:t>
            </w:r>
          </w:p>
        </w:tc>
        <w:tc>
          <w:tcPr>
            <w:tcW w:w="0" w:type="auto"/>
            <w:hideMark/>
          </w:tcPr>
          <w:p w14:paraId="38E0CC75" w14:textId="201D5FC7" w:rsidR="00354AAC" w:rsidRPr="00354AAC" w:rsidRDefault="00354AAC" w:rsidP="00354AAC">
            <w:pPr>
              <w:spacing w:after="160" w:line="278" w:lineRule="auto"/>
            </w:pPr>
            <w:r w:rsidRPr="00354AAC">
              <w:t>Include – applied to UK setting (British birth cohort).</w:t>
            </w:r>
          </w:p>
        </w:tc>
      </w:tr>
      <w:tr w:rsidR="00354AAC" w:rsidRPr="00354AAC" w14:paraId="68FA316D" w14:textId="77777777" w:rsidTr="00354AAC">
        <w:tc>
          <w:tcPr>
            <w:tcW w:w="0" w:type="auto"/>
            <w:hideMark/>
          </w:tcPr>
          <w:p w14:paraId="477EADAA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J527</w:t>
            </w:r>
          </w:p>
        </w:tc>
        <w:tc>
          <w:tcPr>
            <w:tcW w:w="0" w:type="auto"/>
            <w:hideMark/>
          </w:tcPr>
          <w:p w14:paraId="61D91C1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Botulinum toxin type A for lower limb spasticity in CP children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611857B4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 xml:space="preserve">RCTs on </w:t>
            </w:r>
            <w:proofErr w:type="spellStart"/>
            <w:r w:rsidRPr="00354AAC">
              <w:t>BoNT</w:t>
            </w:r>
            <w:proofErr w:type="spellEnd"/>
            <w:r w:rsidRPr="00354AAC">
              <w:t>-A injections, gait outcomes, compared to physio/casts/orthoses.</w:t>
            </w:r>
          </w:p>
        </w:tc>
        <w:tc>
          <w:tcPr>
            <w:tcW w:w="0" w:type="auto"/>
            <w:hideMark/>
          </w:tcPr>
          <w:p w14:paraId="7DE9860E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No direct UK/NHS keyword; paediatrics flagged but treated as general.</w:t>
            </w:r>
          </w:p>
        </w:tc>
        <w:tc>
          <w:tcPr>
            <w:tcW w:w="0" w:type="auto"/>
            <w:hideMark/>
          </w:tcPr>
          <w:p w14:paraId="02C8B5FC" w14:textId="29A3BD36" w:rsidR="00354AAC" w:rsidRPr="00354AAC" w:rsidRDefault="00354AAC" w:rsidP="00354AAC">
            <w:pPr>
              <w:spacing w:after="160" w:line="278" w:lineRule="auto"/>
            </w:pPr>
            <w:r w:rsidRPr="00354AAC">
              <w:t>Include – injection + physio = health service delivery.</w:t>
            </w:r>
          </w:p>
        </w:tc>
      </w:tr>
      <w:tr w:rsidR="00354AAC" w:rsidRPr="00354AAC" w14:paraId="2EEC036A" w14:textId="77777777" w:rsidTr="00354AAC">
        <w:tc>
          <w:tcPr>
            <w:tcW w:w="0" w:type="auto"/>
            <w:hideMark/>
          </w:tcPr>
          <w:p w14:paraId="61471B3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J528</w:t>
            </w:r>
          </w:p>
        </w:tc>
        <w:tc>
          <w:tcPr>
            <w:tcW w:w="0" w:type="auto"/>
            <w:hideMark/>
          </w:tcPr>
          <w:p w14:paraId="7FECA835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NSAIDs for heavy menstrual bleeding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34FDEA2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Randomised trials, reduction in menstrual blood loss, comparisons with LNG-IUS, tranexamic acid.</w:t>
            </w:r>
          </w:p>
        </w:tc>
        <w:tc>
          <w:tcPr>
            <w:tcW w:w="0" w:type="auto"/>
            <w:hideMark/>
          </w:tcPr>
          <w:p w14:paraId="0C0D69A3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Read as pharmacological review without clear setting.</w:t>
            </w:r>
          </w:p>
        </w:tc>
        <w:tc>
          <w:tcPr>
            <w:tcW w:w="0" w:type="auto"/>
            <w:hideMark/>
          </w:tcPr>
          <w:p w14:paraId="799A48E9" w14:textId="21564BF5" w:rsidR="00354AAC" w:rsidRPr="00354AAC" w:rsidRDefault="00354AAC" w:rsidP="00354AAC">
            <w:pPr>
              <w:spacing w:after="160" w:line="278" w:lineRule="auto"/>
            </w:pPr>
            <w:r w:rsidRPr="00354AAC">
              <w:t>Include – treatment of HMB is clinical care (gynaecology).</w:t>
            </w:r>
          </w:p>
        </w:tc>
      </w:tr>
      <w:tr w:rsidR="00354AAC" w:rsidRPr="00354AAC" w14:paraId="04A1D287" w14:textId="77777777" w:rsidTr="00354AAC">
        <w:tc>
          <w:tcPr>
            <w:tcW w:w="0" w:type="auto"/>
            <w:hideMark/>
          </w:tcPr>
          <w:p w14:paraId="2F4BBB39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J529</w:t>
            </w:r>
          </w:p>
        </w:tc>
        <w:tc>
          <w:tcPr>
            <w:tcW w:w="0" w:type="auto"/>
            <w:hideMark/>
          </w:tcPr>
          <w:p w14:paraId="075A38A7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Endometrial resection and ablation for HMB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2B3C01F6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Surgical techniques (first vs second generation), hysteroscopy, operative outcomes.</w:t>
            </w:r>
          </w:p>
        </w:tc>
        <w:tc>
          <w:tcPr>
            <w:tcW w:w="0" w:type="auto"/>
            <w:hideMark/>
          </w:tcPr>
          <w:p w14:paraId="3824030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Missed because abstract leans to surgical techniques, not explicitly “health setting.”</w:t>
            </w:r>
          </w:p>
        </w:tc>
        <w:tc>
          <w:tcPr>
            <w:tcW w:w="0" w:type="auto"/>
            <w:hideMark/>
          </w:tcPr>
          <w:p w14:paraId="5895C48A" w14:textId="05483724" w:rsidR="00354AAC" w:rsidRPr="00354AAC" w:rsidRDefault="00354AAC" w:rsidP="00354AAC">
            <w:pPr>
              <w:spacing w:after="160" w:line="278" w:lineRule="auto"/>
            </w:pPr>
            <w:r w:rsidRPr="00354AAC">
              <w:t>Include – surgical treatment is hospital-based care.</w:t>
            </w:r>
          </w:p>
        </w:tc>
      </w:tr>
      <w:tr w:rsidR="00354AAC" w:rsidRPr="00354AAC" w14:paraId="541BA20D" w14:textId="77777777" w:rsidTr="00354AAC">
        <w:tc>
          <w:tcPr>
            <w:tcW w:w="0" w:type="auto"/>
            <w:hideMark/>
          </w:tcPr>
          <w:p w14:paraId="4F164A34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J530</w:t>
            </w:r>
          </w:p>
        </w:tc>
        <w:tc>
          <w:tcPr>
            <w:tcW w:w="0" w:type="auto"/>
            <w:hideMark/>
          </w:tcPr>
          <w:p w14:paraId="25297978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Cyclical progestogens for heavy menstrual bleeding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4325BC7F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Oral progestogen therapy, comparisons with tranexamic acid/LNG-IUS.</w:t>
            </w:r>
          </w:p>
        </w:tc>
        <w:tc>
          <w:tcPr>
            <w:tcW w:w="0" w:type="auto"/>
            <w:hideMark/>
          </w:tcPr>
          <w:p w14:paraId="19BD2E0E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Treated as pharmacological/lifestyle trial, no explicit NHS keyword.</w:t>
            </w:r>
          </w:p>
        </w:tc>
        <w:tc>
          <w:tcPr>
            <w:tcW w:w="0" w:type="auto"/>
            <w:hideMark/>
          </w:tcPr>
          <w:p w14:paraId="099C815E" w14:textId="27C3A5C5" w:rsidR="00354AAC" w:rsidRPr="00354AAC" w:rsidRDefault="00354AAC" w:rsidP="00354AAC">
            <w:pPr>
              <w:spacing w:after="160" w:line="278" w:lineRule="auto"/>
            </w:pPr>
            <w:r w:rsidRPr="00354AAC">
              <w:t>Include – prescribing context = clinical setting.</w:t>
            </w:r>
          </w:p>
        </w:tc>
      </w:tr>
      <w:tr w:rsidR="00354AAC" w:rsidRPr="00354AAC" w14:paraId="055CEE7E" w14:textId="77777777" w:rsidTr="00354AAC">
        <w:tc>
          <w:tcPr>
            <w:tcW w:w="0" w:type="auto"/>
            <w:hideMark/>
          </w:tcPr>
          <w:p w14:paraId="4324C1B0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J535</w:t>
            </w:r>
          </w:p>
        </w:tc>
        <w:tc>
          <w:tcPr>
            <w:tcW w:w="0" w:type="auto"/>
            <w:hideMark/>
          </w:tcPr>
          <w:p w14:paraId="7427452A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Interventions for prodromal stage of psychosis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2195605C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RCTs on CBT, risperidone, supportive interventions; prevention of psychosis.</w:t>
            </w:r>
          </w:p>
        </w:tc>
        <w:tc>
          <w:tcPr>
            <w:tcW w:w="0" w:type="auto"/>
            <w:hideMark/>
          </w:tcPr>
          <w:p w14:paraId="7A9E65E3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Abstract framed as mental health prevention; not tied explicitly to NHS/clinical context.</w:t>
            </w:r>
          </w:p>
        </w:tc>
        <w:tc>
          <w:tcPr>
            <w:tcW w:w="0" w:type="auto"/>
            <w:hideMark/>
          </w:tcPr>
          <w:p w14:paraId="29B7A5B6" w14:textId="790E33BC" w:rsidR="00354AAC" w:rsidRPr="00354AAC" w:rsidRDefault="00354AAC" w:rsidP="00354AAC">
            <w:pPr>
              <w:spacing w:after="160" w:line="278" w:lineRule="auto"/>
            </w:pPr>
            <w:r w:rsidRPr="00354AAC">
              <w:t>Include – mental health interventions = healthcare setting.</w:t>
            </w:r>
          </w:p>
        </w:tc>
      </w:tr>
      <w:tr w:rsidR="00354AAC" w:rsidRPr="00354AAC" w14:paraId="31B0791F" w14:textId="77777777" w:rsidTr="00354AAC">
        <w:tc>
          <w:tcPr>
            <w:tcW w:w="0" w:type="auto"/>
            <w:hideMark/>
          </w:tcPr>
          <w:p w14:paraId="5936142A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J540</w:t>
            </w:r>
          </w:p>
        </w:tc>
        <w:tc>
          <w:tcPr>
            <w:tcW w:w="0" w:type="auto"/>
            <w:hideMark/>
          </w:tcPr>
          <w:p w14:paraId="0AB07889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Conservative management following closed reduction of shoulder dislocation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2F0CDB1D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RCTs on immobilisation (sling vs brace), return to activity outcomes.</w:t>
            </w:r>
          </w:p>
        </w:tc>
        <w:tc>
          <w:tcPr>
            <w:tcW w:w="0" w:type="auto"/>
            <w:hideMark/>
          </w:tcPr>
          <w:p w14:paraId="1B3EBBFB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Looked like rehab/physio trial, not explicit “hospital/clinic.”</w:t>
            </w:r>
          </w:p>
        </w:tc>
        <w:tc>
          <w:tcPr>
            <w:tcW w:w="0" w:type="auto"/>
            <w:hideMark/>
          </w:tcPr>
          <w:p w14:paraId="50BE5ADC" w14:textId="5205D80B" w:rsidR="00354AAC" w:rsidRPr="00354AAC" w:rsidRDefault="00354AAC" w:rsidP="00354AAC">
            <w:pPr>
              <w:spacing w:after="160" w:line="278" w:lineRule="auto"/>
            </w:pPr>
            <w:r w:rsidRPr="00354AAC">
              <w:t>Include – post-trauma shoulder management = hospital/ortho care.</w:t>
            </w:r>
          </w:p>
        </w:tc>
      </w:tr>
      <w:tr w:rsidR="00354AAC" w:rsidRPr="00354AAC" w14:paraId="03EAC05C" w14:textId="77777777" w:rsidTr="00354AAC">
        <w:tc>
          <w:tcPr>
            <w:tcW w:w="0" w:type="auto"/>
            <w:hideMark/>
          </w:tcPr>
          <w:p w14:paraId="5A2373E0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J542</w:t>
            </w:r>
          </w:p>
        </w:tc>
        <w:tc>
          <w:tcPr>
            <w:tcW w:w="0" w:type="auto"/>
            <w:hideMark/>
          </w:tcPr>
          <w:p w14:paraId="1D213B82" w14:textId="77777777" w:rsidR="00354AAC" w:rsidRPr="00354AAC" w:rsidRDefault="00354AAC" w:rsidP="00354AAC">
            <w:pPr>
              <w:spacing w:after="160" w:line="278" w:lineRule="auto"/>
            </w:pPr>
            <w:r w:rsidRPr="00354AAC">
              <w:rPr>
                <w:i/>
                <w:iCs/>
              </w:rPr>
              <w:t>Clobazam add-on therapy for drug-resistant epilepsy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1EF4A99E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Add-on drug therapy in resistant epilepsy, seizure reduction, RCTs.</w:t>
            </w:r>
          </w:p>
        </w:tc>
        <w:tc>
          <w:tcPr>
            <w:tcW w:w="0" w:type="auto"/>
            <w:hideMark/>
          </w:tcPr>
          <w:p w14:paraId="2B1BDF80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Focus on medication trials; no direct UK/NHS flag.</w:t>
            </w:r>
          </w:p>
        </w:tc>
        <w:tc>
          <w:tcPr>
            <w:tcW w:w="0" w:type="auto"/>
            <w:hideMark/>
          </w:tcPr>
          <w:p w14:paraId="675A07D1" w14:textId="68912C53" w:rsidR="00354AAC" w:rsidRPr="00354AAC" w:rsidRDefault="00354AAC" w:rsidP="00354AAC">
            <w:pPr>
              <w:spacing w:after="160" w:line="278" w:lineRule="auto"/>
            </w:pPr>
            <w:r w:rsidRPr="00354AAC">
              <w:t>Include – epilepsy drug management = healthcare setting.</w:t>
            </w:r>
          </w:p>
        </w:tc>
      </w:tr>
      <w:tr w:rsidR="00354AAC" w:rsidRPr="00354AAC" w14:paraId="70723527" w14:textId="77777777" w:rsidTr="00354AAC">
        <w:tc>
          <w:tcPr>
            <w:tcW w:w="0" w:type="auto"/>
            <w:hideMark/>
          </w:tcPr>
          <w:p w14:paraId="5FE23E52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J544</w:t>
            </w:r>
          </w:p>
        </w:tc>
        <w:tc>
          <w:tcPr>
            <w:tcW w:w="0" w:type="auto"/>
            <w:hideMark/>
          </w:tcPr>
          <w:p w14:paraId="057DB2C6" w14:textId="77777777" w:rsidR="00354AAC" w:rsidRPr="00354AAC" w:rsidRDefault="00354AAC" w:rsidP="00354AAC">
            <w:pPr>
              <w:spacing w:after="160" w:line="278" w:lineRule="auto"/>
            </w:pPr>
            <w:proofErr w:type="spellStart"/>
            <w:r w:rsidRPr="00354AAC">
              <w:rPr>
                <w:i/>
                <w:iCs/>
              </w:rPr>
              <w:t>PRIMEtime</w:t>
            </w:r>
            <w:proofErr w:type="spellEnd"/>
            <w:r w:rsidRPr="00354AAC">
              <w:rPr>
                <w:i/>
                <w:iCs/>
              </w:rPr>
              <w:t xml:space="preserve"> CE: cost-effectiveness model for diet &amp; physical activity</w:t>
            </w:r>
            <w:r w:rsidRPr="00354AAC">
              <w:t xml:space="preserve"> (2019)</w:t>
            </w:r>
          </w:p>
        </w:tc>
        <w:tc>
          <w:tcPr>
            <w:tcW w:w="0" w:type="auto"/>
            <w:hideMark/>
          </w:tcPr>
          <w:p w14:paraId="42400762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 xml:space="preserve">Explicit reference to </w:t>
            </w:r>
            <w:r w:rsidRPr="00354AAC">
              <w:rPr>
                <w:b/>
                <w:bCs/>
              </w:rPr>
              <w:t>England</w:t>
            </w:r>
            <w:r w:rsidRPr="00354AAC">
              <w:t xml:space="preserve">, “decision makers,” </w:t>
            </w:r>
            <w:r w:rsidRPr="00354AAC">
              <w:rPr>
                <w:b/>
                <w:bCs/>
              </w:rPr>
              <w:t>NHS/social care costs</w:t>
            </w:r>
            <w:r w:rsidRPr="00354AAC">
              <w:t>.</w:t>
            </w:r>
          </w:p>
        </w:tc>
        <w:tc>
          <w:tcPr>
            <w:tcW w:w="0" w:type="auto"/>
            <w:hideMark/>
          </w:tcPr>
          <w:p w14:paraId="2D680FF2" w14:textId="77777777" w:rsidR="00354AAC" w:rsidRPr="00354AAC" w:rsidRDefault="00354AAC" w:rsidP="00354AAC">
            <w:pPr>
              <w:spacing w:after="160" w:line="278" w:lineRule="auto"/>
            </w:pPr>
            <w:r w:rsidRPr="00354AAC">
              <w:t>Modelling/public health economics, not flagged as healthcare delivery.</w:t>
            </w:r>
          </w:p>
        </w:tc>
        <w:tc>
          <w:tcPr>
            <w:tcW w:w="0" w:type="auto"/>
            <w:hideMark/>
          </w:tcPr>
          <w:p w14:paraId="0C388C7C" w14:textId="69FCF802" w:rsidR="00354AAC" w:rsidRPr="00354AAC" w:rsidRDefault="00354AAC" w:rsidP="00354AAC">
            <w:pPr>
              <w:spacing w:after="160" w:line="278" w:lineRule="auto"/>
            </w:pPr>
            <w:r w:rsidRPr="00354AAC">
              <w:t>Include – directly applied to NHS/social care in England.</w:t>
            </w:r>
          </w:p>
        </w:tc>
      </w:tr>
    </w:tbl>
    <w:p w14:paraId="52BF2A62" w14:textId="77777777" w:rsidR="002601B8" w:rsidRDefault="002601B8"/>
    <w:sectPr w:rsidR="0026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AC"/>
    <w:rsid w:val="002601B8"/>
    <w:rsid w:val="00354AAC"/>
    <w:rsid w:val="00386972"/>
    <w:rsid w:val="0054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2B16"/>
  <w15:chartTrackingRefBased/>
  <w15:docId w15:val="{DB119CCB-9F18-4A30-8EAD-F3E4F9CF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A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54A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5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CAREY, Oliver (NHS MIDLANDS AND LANCASHIRE COMMISSIONING SUPPORT UNIT)</dc:creator>
  <cp:keywords/>
  <dc:description/>
  <cp:lastModifiedBy>CAREY, Oliver (NHS MIDLANDS AND LANCASHIRE COMMISSIONING SUPPORT UNIT)</cp:lastModifiedBy>
  <cp:revision>1</cp:revision>
  <dcterms:created xsi:type="dcterms:W3CDTF">2025-09-04T09:00:00Z</dcterms:created>
  <dcterms:modified xsi:type="dcterms:W3CDTF">2025-09-04T09:01:00Z</dcterms:modified>
</cp:coreProperties>
</file>