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163A5F"/>
            <w:tcMar>
              <w:top w:w="20" w:type="dxa"/>
              <w:start w:w="100" w:type="dxa"/>
              <w:bottom w:w="20" w:type="dxa"/>
              <w:end w:w="100" w:type="dxa"/>
            </w:tcMar>
          </w:tcPr>
          <w:p/>
        </w:tc>
      </w:tr>
    </w:tbl>
    <w:p>
      <w:pPr>
        <w:spacing w:after="240"/>
      </w:pPr>
    </w:p>
    <w:p>
      <w:pPr>
        <w:jc w:val="center"/>
      </w:pPr>
      <w:r>
        <w:rPr>
          <w:b/>
          <w:color w:val="0F6B78"/>
          <w:sz w:val="30"/>
        </w:rPr>
        <w:t>KMAT COST MODEL</w:t>
      </w:r>
    </w:p>
    <w:p>
      <w:pPr>
        <w:pStyle w:val="Title"/>
        <w:jc w:val="center"/>
      </w:pPr>
      <w:r>
        <w:t>Completed Work and</w:t>
        <w:br/>
        <w:t>Production Roadmap</w:t>
      </w:r>
    </w:p>
    <w:p>
      <w:pPr>
        <w:jc w:val="center"/>
      </w:pPr>
      <w:r>
        <w:rPr>
          <w:color w:val="1D2935"/>
          <w:sz w:val="28"/>
        </w:rPr>
        <w:t>Intelligent KMAT Cost and Pricing Platform</w:t>
      </w:r>
    </w:p>
    <w:p>
      <w:pPr>
        <w:jc w:val="center"/>
      </w:pPr>
      <w:r>
        <w:rPr>
          <w:color w:val="0F6B78"/>
          <w:sz w:val="21"/>
        </w:rPr>
        <w:t>Demo Product: Configurable Truck | Platform: Snowflake + Snowpark + Streamlit + Cortex AI</w:t>
      </w:r>
    </w:p>
    <w:p/>
    <w:p/>
    <w:p/>
    <w:p/>
    <w:tbl>
      <w:tblPr>
        <w:tblW w:type="auto" w:w="0"/>
        <w:jc w:val="center"/>
        <w:tblLayout w:type="fixed"/>
        <w:tblLook w:firstColumn="1" w:firstRow="1" w:lastColumn="0" w:lastRow="0" w:noHBand="0" w:noVBand="1" w:val="04A0"/>
      </w:tblPr>
      <w:tblGrid>
        <w:gridCol w:w="10166"/>
      </w:tblGrid>
      <w:tr>
        <w:tc>
          <w:tcPr>
            <w:tcW w:type="dxa" w:w="9216"/>
            <w:shd w:fill="DDF1F0"/>
            <w:tcMar>
              <w:top w:w="120" w:type="dxa"/>
              <w:start w:w="180" w:type="dxa"/>
              <w:bottom w:w="120" w:type="dxa"/>
              <w:end w:w="160" w:type="dxa"/>
            </w:tcMar>
            <w:tcBorders>
              <w:top w:val="single" w:sz="4" w:color="DDF1F0"/>
              <w:left w:val="single" w:sz="24" w:color="0F6B78"/>
              <w:bottom w:val="single" w:sz="4" w:color="DDF1F0"/>
              <w:right w:val="single" w:sz="4" w:color="DDF1F0"/>
            </w:tcBorders>
          </w:tcPr>
          <w:p>
            <w:r>
              <w:rPr>
                <w:b/>
                <w:color w:val="0F6B78"/>
                <w:sz w:val="21"/>
              </w:rPr>
              <w:t>Document purpose</w:t>
              <w:br/>
            </w:r>
            <w:r>
              <w:rPr>
                <w:color w:val="1D2935"/>
                <w:sz w:val="19"/>
              </w:rPr>
              <w:t>This document records the work completed through Phase 7 and defines the production-level roadmap for the governed ML prediction layer, business decision engine, controlled cost integration, and operational rollout.</w:t>
            </w:r>
          </w:p>
        </w:tc>
      </w:tr>
    </w:tbl>
    <w:p>
      <w:pPr>
        <w:spacing w:after="0" w:before="0"/>
      </w:pPr>
    </w:p>
    <w:p>
      <w:pPr>
        <w:jc w:val="center"/>
      </w:pPr>
      <w:r>
        <w:rPr>
          <w:color w:val="1D2935"/>
          <w:sz w:val="20"/>
        </w:rPr>
        <w:t>Prepared: 17 July 2026</w:t>
      </w:r>
    </w:p>
    <w:p>
      <w:pPr>
        <w:jc w:val="center"/>
      </w:pPr>
      <w:r>
        <w:rPr>
          <w:b/>
          <w:color w:val="2E7D32"/>
          <w:sz w:val="21"/>
        </w:rPr>
        <w:t>Status: Phase 7 completed; Phase 8A is the immediate next phase</w:t>
      </w:r>
    </w:p>
    <w:p>
      <w:r>
        <w:br w:type="page"/>
      </w:r>
    </w:p>
    <w:p>
      <w:pPr>
        <w:pStyle w:val="Heading1"/>
      </w:pPr>
      <w:r>
        <w:t>1. Executive Summary</w:t>
      </w:r>
    </w:p>
    <w:p>
      <w:r>
        <w:t>The KMAT Cost Model has progressed from a sample configurable-truck dataset into a governed Snowflake application that resolves customer-selected characteristics, filters a Super BOM and Super Routing, calculates deterministic manufacturing cost, applies explainable risk adjustments, and supports RFQ processing through Cortex AI.</w:t>
      </w:r>
    </w:p>
    <w:p>
      <w:r>
        <w:t>The completed system now contains two established layers: a deterministic cost foundation and a Cortex intelligence layer. The next stage will add a governed ML prediction layer. ML will predict technical values only; versioned business rules will convert those predictions into approved scrap rates, material multipliers, tooling factors, and quotation decisions. The existing deterministic cost engine will remain the financial source of truth.</w:t>
      </w:r>
    </w:p>
    <w:tbl>
      <w:tblPr>
        <w:tblW w:type="auto" w:w="0"/>
        <w:jc w:val="center"/>
        <w:tblLayout w:type="fixed"/>
        <w:tblLook w:firstColumn="1" w:firstRow="1" w:lastColumn="0" w:lastRow="0" w:noHBand="0" w:noVBand="1" w:val="04A0"/>
      </w:tblPr>
      <w:tblGrid>
        <w:gridCol w:w="10166"/>
      </w:tblGrid>
      <w:tr>
        <w:tc>
          <w:tcPr>
            <w:tcW w:type="dxa" w:w="9216"/>
            <w:shd w:fill="E6F4EA"/>
            <w:tcMar>
              <w:top w:w="120" w:type="dxa"/>
              <w:start w:w="180" w:type="dxa"/>
              <w:bottom w:w="120" w:type="dxa"/>
              <w:end w:w="160" w:type="dxa"/>
            </w:tcMar>
            <w:tcBorders>
              <w:top w:val="single" w:sz="4" w:color="E6F4EA"/>
              <w:left w:val="single" w:sz="24" w:color="2E7D32"/>
              <w:bottom w:val="single" w:sz="4" w:color="E6F4EA"/>
              <w:right w:val="single" w:sz="4" w:color="E6F4EA"/>
            </w:tcBorders>
          </w:tcPr>
          <w:p>
            <w:r>
              <w:rPr>
                <w:b/>
                <w:color w:val="2E7D32"/>
                <w:sz w:val="21"/>
              </w:rPr>
              <w:t>Production principle</w:t>
              <w:br/>
            </w:r>
            <w:r>
              <w:rPr>
                <w:color w:val="1D2935"/>
                <w:sz w:val="19"/>
              </w:rPr>
              <w:t>ML predicts. Business rules decide. The deterministic engine calculates. Cortex explains and processes unstructured information.</w:t>
            </w:r>
          </w:p>
        </w:tc>
      </w:tr>
    </w:tbl>
    <w:p>
      <w:pPr>
        <w:spacing w:after="0" w:before="0"/>
      </w:pPr>
    </w:p>
    <w:p>
      <w:pPr>
        <w:pStyle w:val="Heading1"/>
      </w:pPr>
      <w:r>
        <w:t>2. Current Scope and Design Principles</w:t>
      </w:r>
    </w:p>
    <w:p>
      <w:pPr>
        <w:pStyle w:val="ListBullet"/>
        <w:spacing w:after="40"/>
      </w:pPr>
      <w:r>
        <w:t>KMAT product: KMAT_TRUCK_01 with ENGINE, CAB, WHEEL and COLOR characteristics.</w:t>
      </w:r>
    </w:p>
    <w:p>
      <w:pPr>
        <w:pStyle w:val="ListBullet"/>
        <w:spacing w:after="40"/>
      </w:pPr>
      <w:r>
        <w:t>Cost foundation: material, labor, machine and overhead, including bulk material handling.</w:t>
      </w:r>
    </w:p>
    <w:p>
      <w:pPr>
        <w:pStyle w:val="ListBullet"/>
        <w:spacing w:after="40"/>
      </w:pPr>
      <w:r>
        <w:t>Missing material cost policy: use COALESCE(cost, 0) while recording a missing-cost flag for review.</w:t>
      </w:r>
    </w:p>
    <w:p>
      <w:pPr>
        <w:pStyle w:val="ListBullet"/>
        <w:spacing w:after="40"/>
      </w:pPr>
      <w:r>
        <w:t>Configuration logic: JSON dependency rules evaluated through Snowpark against the Super BOM and Super Routing.</w:t>
      </w:r>
    </w:p>
    <w:p>
      <w:pPr>
        <w:pStyle w:val="ListBullet"/>
        <w:spacing w:after="40"/>
      </w:pPr>
      <w:r>
        <w:t>Risk layer: CSS, FMIS and TDS are applied through controlled formulas and traceable output columns.</w:t>
      </w:r>
    </w:p>
    <w:p>
      <w:pPr>
        <w:pStyle w:val="ListBullet"/>
        <w:spacing w:after="40"/>
      </w:pPr>
      <w:r>
        <w:t>RFQ trust: BMCS controls whether an RFQ-derived cost is trusted, conditional or blocked for engineering review.</w:t>
      </w:r>
    </w:p>
    <w:p>
      <w:pPr>
        <w:pStyle w:val="ListBullet"/>
        <w:spacing w:after="40"/>
      </w:pPr>
      <w:r>
        <w:t>AI/ML boundary: generated explanations cannot directly alter official financial calculations.</w:t>
      </w:r>
    </w:p>
    <w:p>
      <w:pPr>
        <w:pStyle w:val="Heading1"/>
      </w:pPr>
      <w:r>
        <w:t>3. Work Completed Through Phase 7</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Phase</w:t>
            </w:r>
          </w:p>
        </w:tc>
        <w:tc>
          <w:tcPr>
            <w:tcW w:type="dxa" w:w="223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Capability</w:t>
            </w:r>
          </w:p>
        </w:tc>
        <w:tc>
          <w:tcPr>
            <w:tcW w:type="dxa" w:w="151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Status</w:t>
            </w:r>
          </w:p>
        </w:tc>
        <w:tc>
          <w:tcPr>
            <w:tcW w:type="dxa" w:w="45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Completed outcome</w:t>
            </w:r>
          </w:p>
        </w:tc>
      </w:tr>
      <w:tr>
        <w:tc>
          <w:tcPr>
            <w:tcW w:type="dxa" w:w="9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Phase 1</w:t>
            </w:r>
          </w:p>
        </w:tc>
        <w:tc>
          <w:tcPr>
            <w:tcW w:type="dxa" w:w="223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Snowflake data foundation</w:t>
            </w:r>
          </w:p>
        </w:tc>
        <w:tc>
          <w:tcPr>
            <w:tcW w:type="dxa" w:w="151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E6F4EA"/>
          </w:tcPr>
          <w:p>
            <w:pPr>
              <w:jc w:val="center"/>
            </w:pPr>
            <w:r/>
            <w:r>
              <w:rPr>
                <w:b/>
                <w:color w:val="2E7D32"/>
                <w:sz w:val="18"/>
              </w:rPr>
              <w:t>Completed</w:t>
            </w:r>
          </w:p>
        </w:tc>
        <w:tc>
          <w:tcPr>
            <w:tcW w:type="dxa" w:w="45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Database schemas; characteristics and allowed values; Super BOM; JSON dependency rules; material costs; simulation inputs; sample truck data; bulk-material and missing-cost handling.</w:t>
            </w:r>
          </w:p>
        </w:tc>
      </w:tr>
      <w:tr>
        <w:tc>
          <w:tcPr>
            <w:tcW w:type="dxa" w:w="9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Phase 2</w:t>
            </w:r>
          </w:p>
        </w:tc>
        <w:tc>
          <w:tcPr>
            <w:tcW w:type="dxa" w:w="223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Deterministic KMAT cost engine</w:t>
            </w:r>
          </w:p>
        </w:tc>
        <w:tc>
          <w:tcPr>
            <w:tcW w:type="dxa" w:w="151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E6F4EA"/>
          </w:tcPr>
          <w:p>
            <w:pPr>
              <w:jc w:val="center"/>
            </w:pPr>
            <w:r/>
            <w:r>
              <w:rPr>
                <w:b/>
                <w:color w:val="2E7D32"/>
                <w:sz w:val="18"/>
              </w:rPr>
              <w:t>Completed</w:t>
            </w:r>
          </w:p>
        </w:tc>
        <w:tc>
          <w:tcPr>
            <w:tcW w:type="dxa" w:w="45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Snowpark procedure for rule evaluation, component selection, Super Routing resolution, material/labor/machine/overhead rollup, configured output tables and pricing outputs.</w:t>
            </w:r>
          </w:p>
        </w:tc>
      </w:tr>
      <w:tr>
        <w:tc>
          <w:tcPr>
            <w:tcW w:type="dxa" w:w="9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Phase 3</w:t>
            </w:r>
          </w:p>
        </w:tc>
        <w:tc>
          <w:tcPr>
            <w:tcW w:type="dxa" w:w="223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Optional component-adjustment enhancement</w:t>
            </w:r>
          </w:p>
        </w:tc>
        <w:tc>
          <w:tcPr>
            <w:tcW w:type="dxa" w:w="151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FF1DD"/>
          </w:tcPr>
          <w:p>
            <w:pPr>
              <w:jc w:val="center"/>
            </w:pPr>
            <w:r/>
            <w:r>
              <w:rPr>
                <w:b/>
                <w:color w:val="C26A00"/>
                <w:sz w:val="18"/>
              </w:rPr>
              <w:t>Deferred</w:t>
            </w:r>
          </w:p>
        </w:tc>
        <w:tc>
          <w:tcPr>
            <w:tcW w:type="dxa" w:w="45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Not required for the core production path. Existing engine supports the required configured cost and risk pipeline without this optional enhancement.</w:t>
            </w:r>
          </w:p>
        </w:tc>
      </w:tr>
      <w:tr>
        <w:tc>
          <w:tcPr>
            <w:tcW w:type="dxa" w:w="9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Phase 4A-4B</w:t>
            </w:r>
          </w:p>
        </w:tc>
        <w:tc>
          <w:tcPr>
            <w:tcW w:type="dxa" w:w="223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Streamlit simulation application</w:t>
            </w:r>
          </w:p>
        </w:tc>
        <w:tc>
          <w:tcPr>
            <w:tcW w:type="dxa" w:w="151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E6F4EA"/>
          </w:tcPr>
          <w:p>
            <w:pPr>
              <w:jc w:val="center"/>
            </w:pPr>
            <w:r/>
            <w:r>
              <w:rPr>
                <w:b/>
                <w:color w:val="2E7D32"/>
                <w:sz w:val="18"/>
              </w:rPr>
              <w:t>Completed</w:t>
            </w:r>
          </w:p>
        </w:tc>
        <w:tc>
          <w:tcPr>
            <w:tcW w:type="dxa" w:w="45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Configure and run; scenario history; comparison; component impact; batch scenarios; downloads; consistent glass-style dashboard.</w:t>
            </w:r>
          </w:p>
        </w:tc>
      </w:tr>
      <w:tr>
        <w:tc>
          <w:tcPr>
            <w:tcW w:type="dxa" w:w="9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Phase 5A-5D</w:t>
            </w:r>
          </w:p>
        </w:tc>
        <w:tc>
          <w:tcPr>
            <w:tcW w:type="dxa" w:w="223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CSS, FMIS and TDS risk-adjusted costing</w:t>
            </w:r>
          </w:p>
        </w:tc>
        <w:tc>
          <w:tcPr>
            <w:tcW w:type="dxa" w:w="151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E6F4EA"/>
          </w:tcPr>
          <w:p>
            <w:pPr>
              <w:jc w:val="center"/>
            </w:pPr>
            <w:r/>
            <w:r>
              <w:rPr>
                <w:b/>
                <w:color w:val="2E7D32"/>
                <w:sz w:val="18"/>
              </w:rPr>
              <w:t>Completed</w:t>
            </w:r>
          </w:p>
        </w:tc>
        <w:tc>
          <w:tcPr>
            <w:tcW w:type="dxa" w:w="45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Risk input tables; output-table upgrades; procedure integration; baseline versus risk-adjusted cost; component and operation traceability; Streamlit risk dashboard.</w:t>
            </w:r>
          </w:p>
        </w:tc>
      </w:tr>
      <w:tr>
        <w:tc>
          <w:tcPr>
            <w:tcW w:type="dxa" w:w="9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Phase 6A-6D</w:t>
            </w:r>
          </w:p>
        </w:tc>
        <w:tc>
          <w:tcPr>
            <w:tcW w:type="dxa" w:w="223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Rule-based RFQ/BMCS trust layer</w:t>
            </w:r>
          </w:p>
        </w:tc>
        <w:tc>
          <w:tcPr>
            <w:tcW w:type="dxa" w:w="151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E6F4EA"/>
          </w:tcPr>
          <w:p>
            <w:pPr>
              <w:jc w:val="center"/>
            </w:pPr>
            <w:r/>
            <w:r>
              <w:rPr>
                <w:b/>
                <w:color w:val="2E7D32"/>
                <w:sz w:val="18"/>
              </w:rPr>
              <w:t>Completed</w:t>
            </w:r>
          </w:p>
        </w:tc>
        <w:tc>
          <w:tcPr>
            <w:tcW w:type="dxa" w:w="45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RFQ header/configuration/assessment structures; BMCS rules and evidence; review gate; quote-trust status; RFQ/BMCS Streamlit panel.</w:t>
            </w:r>
          </w:p>
        </w:tc>
      </w:tr>
      <w:tr>
        <w:tc>
          <w:tcPr>
            <w:tcW w:type="dxa" w:w="9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Phase 7A</w:t>
            </w:r>
          </w:p>
        </w:tc>
        <w:tc>
          <w:tcPr>
            <w:tcW w:type="dxa" w:w="223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Cortex RFQ intake and extraction</w:t>
            </w:r>
          </w:p>
        </w:tc>
        <w:tc>
          <w:tcPr>
            <w:tcW w:type="dxa" w:w="151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E6F4EA"/>
          </w:tcPr>
          <w:p>
            <w:pPr>
              <w:jc w:val="center"/>
            </w:pPr>
            <w:r/>
            <w:r>
              <w:rPr>
                <w:b/>
                <w:color w:val="2E7D32"/>
                <w:sz w:val="18"/>
              </w:rPr>
              <w:t>Completed</w:t>
            </w:r>
          </w:p>
        </w:tc>
        <w:tc>
          <w:tcPr>
            <w:tcW w:type="dxa" w:w="45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Document upload; text extraction; translation; summarization; KMAT characteristic extraction; complexity classification; extraction reasoning; save and process pipeline.</w:t>
            </w:r>
          </w:p>
        </w:tc>
      </w:tr>
      <w:tr>
        <w:tc>
          <w:tcPr>
            <w:tcW w:type="dxa" w:w="9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Phase 7B</w:t>
            </w:r>
          </w:p>
        </w:tc>
        <w:tc>
          <w:tcPr>
            <w:tcW w:type="dxa" w:w="223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Cortex BMCS enhancement</w:t>
            </w:r>
          </w:p>
        </w:tc>
        <w:tc>
          <w:tcPr>
            <w:tcW w:type="dxa" w:w="151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E6F4EA"/>
          </w:tcPr>
          <w:p>
            <w:pPr>
              <w:jc w:val="center"/>
            </w:pPr>
            <w:r/>
            <w:r>
              <w:rPr>
                <w:b/>
                <w:color w:val="2E7D32"/>
                <w:sz w:val="18"/>
              </w:rPr>
              <w:t>Completed</w:t>
            </w:r>
          </w:p>
        </w:tc>
        <w:tc>
          <w:tcPr>
            <w:tcW w:type="dxa" w:w="45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AI confidence reasoning and review classification combined with governed rule-based BMCS.</w:t>
            </w:r>
          </w:p>
        </w:tc>
      </w:tr>
      <w:tr>
        <w:tc>
          <w:tcPr>
            <w:tcW w:type="dxa" w:w="9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Phase 7C-7E</w:t>
            </w:r>
          </w:p>
        </w:tc>
        <w:tc>
          <w:tcPr>
            <w:tcW w:type="dxa" w:w="223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Cortex CSS, FMIS and TDS assist</w:t>
            </w:r>
          </w:p>
        </w:tc>
        <w:tc>
          <w:tcPr>
            <w:tcW w:type="dxa" w:w="151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DCEAF5"/>
          </w:tcPr>
          <w:p>
            <w:pPr>
              <w:jc w:val="center"/>
            </w:pPr>
            <w:r/>
            <w:r>
              <w:rPr>
                <w:b/>
                <w:color w:val="163A5F"/>
                <w:sz w:val="18"/>
              </w:rPr>
              <w:t>Completed - advisory</w:t>
            </w:r>
          </w:p>
        </w:tc>
        <w:tc>
          <w:tcPr>
            <w:tcW w:type="dxa" w:w="45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Cortex supports classification, signal extraction and explanations. These outputs are advisory and do not serve as official predictive cost factors.</w:t>
            </w:r>
          </w:p>
        </w:tc>
      </w:tr>
      <w:tr>
        <w:tc>
          <w:tcPr>
            <w:tcW w:type="dxa" w:w="9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Phase 7F</w:t>
            </w:r>
          </w:p>
        </w:tc>
        <w:tc>
          <w:tcPr>
            <w:tcW w:type="dxa" w:w="223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Cortex cost explanation and executive summary</w:t>
            </w:r>
          </w:p>
        </w:tc>
        <w:tc>
          <w:tcPr>
            <w:tcW w:type="dxa" w:w="151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E6F4EA"/>
          </w:tcPr>
          <w:p>
            <w:pPr>
              <w:jc w:val="center"/>
            </w:pPr>
            <w:r/>
            <w:r>
              <w:rPr>
                <w:b/>
                <w:color w:val="2E7D32"/>
                <w:sz w:val="18"/>
              </w:rPr>
              <w:t>Completed</w:t>
            </w:r>
          </w:p>
        </w:tc>
        <w:tc>
          <w:tcPr>
            <w:tcW w:type="dxa" w:w="45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Business-readable explanation of deterministic cost output, risk uplift, RFQ trust and executive-level summary.</w:t>
            </w:r>
          </w:p>
        </w:tc>
      </w:tr>
    </w:tbl>
    <w:p>
      <w:pPr>
        <w:pStyle w:val="Heading1"/>
      </w:pPr>
      <w:r>
        <w:t>4. Current System Architecture After Phase 7</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0F6B78"/>
          </w:tcPr>
          <w:p>
            <w:pPr>
              <w:spacing w:after="0" w:before="0" w:line="252" w:lineRule="auto"/>
            </w:pPr>
            <w:r>
              <w:rPr>
                <w:b/>
                <w:color w:val="FFFFFF"/>
                <w:sz w:val="18"/>
              </w:rPr>
              <w:t>Layer</w:t>
            </w:r>
          </w:p>
        </w:tc>
        <w:tc>
          <w:tcPr>
            <w:tcW w:type="dxa" w:w="67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0F6B78"/>
          </w:tcPr>
          <w:p>
            <w:pPr>
              <w:spacing w:after="0" w:before="0" w:line="252" w:lineRule="auto"/>
            </w:pPr>
            <w:r>
              <w:rPr>
                <w:b/>
                <w:color w:val="FFFFFF"/>
                <w:sz w:val="18"/>
              </w:rPr>
              <w:t>Responsibility</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User and RFQ layer</w:t>
            </w:r>
          </w:p>
        </w:tc>
        <w:tc>
          <w:tcPr>
            <w:tcW w:type="dxa" w:w="67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Streamlit configuration input, document upload, scenario parameters and production context.</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Cortex intelligence layer</w:t>
            </w:r>
          </w:p>
        </w:tc>
        <w:tc>
          <w:tcPr>
            <w:tcW w:type="dxa" w:w="67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Translate, summarize, extract KMAT characteristics, classify RFQ complexity, generate BMCS and cost explanations.</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Trust and review layer</w:t>
            </w:r>
          </w:p>
        </w:tc>
        <w:tc>
          <w:tcPr>
            <w:tcW w:type="dxa" w:w="67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Rule/hybrid BMCS, review status, final-trusted-cost flag and quote-trust status.</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Deterministic calculation layer</w:t>
            </w:r>
          </w:p>
        </w:tc>
        <w:tc>
          <w:tcPr>
            <w:tcW w:type="dxa" w:w="67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Super BOM, Super Routing, material, labor, machine, overhead and pricing formulas.</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Risk-adjustment layer</w:t>
            </w:r>
          </w:p>
        </w:tc>
        <w:tc>
          <w:tcPr>
            <w:tcW w:type="dxa" w:w="67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Current governed CSS rules, FMIS forecast table and TDS rules produce baseline and risk-adjusted outputs.</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Audit and presentation layer</w:t>
            </w:r>
          </w:p>
        </w:tc>
        <w:tc>
          <w:tcPr>
            <w:tcW w:type="dxa" w:w="67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Configured component/operation/overhead outputs, scenario history, comparisons, explanations and downloadable reports.</w:t>
            </w:r>
          </w:p>
        </w:tc>
      </w:tr>
    </w:tbl>
    <w:tbl>
      <w:tblPr>
        <w:tblW w:type="auto" w:w="0"/>
        <w:jc w:val="center"/>
        <w:tblLayout w:type="fixed"/>
        <w:tblLook w:firstColumn="1" w:firstRow="1" w:lastColumn="0" w:lastRow="0" w:noHBand="0" w:noVBand="1" w:val="04A0"/>
      </w:tblPr>
      <w:tblGrid>
        <w:gridCol w:w="10166"/>
      </w:tblGrid>
      <w:tr>
        <w:tc>
          <w:tcPr>
            <w:tcW w:type="dxa" w:w="9216"/>
            <w:shd w:fill="DCEAF5"/>
            <w:tcMar>
              <w:top w:w="120" w:type="dxa"/>
              <w:start w:w="180" w:type="dxa"/>
              <w:bottom w:w="120" w:type="dxa"/>
              <w:end w:w="160" w:type="dxa"/>
            </w:tcMar>
            <w:tcBorders>
              <w:top w:val="single" w:sz="4" w:color="DCEAF5"/>
              <w:left w:val="single" w:sz="24" w:color="163A5F"/>
              <w:bottom w:val="single" w:sz="4" w:color="DCEAF5"/>
              <w:right w:val="single" w:sz="4" w:color="DCEAF5"/>
            </w:tcBorders>
          </w:tcPr>
          <w:p>
            <w:r>
              <w:rPr>
                <w:b/>
                <w:color w:val="163A5F"/>
                <w:sz w:val="21"/>
              </w:rPr>
              <w:t>Current financial authority</w:t>
              <w:br/>
            </w:r>
            <w:r>
              <w:rPr>
                <w:color w:val="1D2935"/>
                <w:sz w:val="19"/>
              </w:rPr>
              <w:t>The official cost remains deterministic. Cortex processes documents and explains results. Existing CSS/FMIS/TDS rules remain the fallback until governed ML models are validated and approved.</w:t>
            </w:r>
          </w:p>
        </w:tc>
      </w:tr>
    </w:tbl>
    <w:p>
      <w:pPr>
        <w:spacing w:after="0" w:before="0"/>
      </w:pPr>
    </w:p>
    <w:p>
      <w:pPr>
        <w:pStyle w:val="Heading1"/>
      </w:pPr>
      <w:r>
        <w:t>5. Production Roadmap After Phase 7</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Phase</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Purpose</w:t>
            </w:r>
          </w:p>
        </w:tc>
        <w:tc>
          <w:tcPr>
            <w:tcW w:type="dxa" w:w="56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Required outcome</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8A</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Data readiness and target definitions</w:t>
            </w:r>
          </w:p>
        </w:tc>
        <w:tc>
          <w:tcPr>
            <w:tcW w:type="dxa" w:w="56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Define authoritative sources, row grain, as-of time, targets, labels, data ownership, leakage controls and training eligibility for CSS, FMIS, TDS and BMCS.</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8B</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Versioned feature datasets</w:t>
            </w:r>
          </w:p>
        </w:tc>
        <w:tc>
          <w:tcPr>
            <w:tcW w:type="dxa" w:w="56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Create reproducible point-in-time feature datasets with feature-set version, source-data version and data-quality status.</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8C</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Model development and validation</w:t>
            </w:r>
          </w:p>
        </w:tc>
        <w:tc>
          <w:tcPr>
            <w:tcW w:type="dxa" w:w="56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Train four independent models; evaluate business-critical errors; compare against existing deterministic fallbacks.</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8D</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Model governance and prediction audit</w:t>
            </w:r>
          </w:p>
        </w:tc>
        <w:tc>
          <w:tcPr>
            <w:tcW w:type="dxa" w:w="56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Register model/version/metrics/owners/approval status; store immutable predictions and feature snapshots.</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8E</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Unified ML scoring service - shadow mode</w:t>
            </w:r>
          </w:p>
        </w:tc>
        <w:tc>
          <w:tcPr>
            <w:tcW w:type="dxa" w:w="56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Return CSS score, FMIS multiplier, TDS factor and BMCS score without changing official cost.</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9A</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Versioned business decision policies</w:t>
            </w:r>
          </w:p>
        </w:tc>
        <w:tc>
          <w:tcPr>
            <w:tcW w:type="dxa" w:w="56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Convert technical predictions into risk bands, approved rates/factors, review actions and quote permissions.</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9B</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Approval and override workflow</w:t>
            </w:r>
          </w:p>
        </w:tc>
        <w:tc>
          <w:tcPr>
            <w:tcW w:type="dxa" w:w="56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Record manual overrides, reasons, approvers, prior values and effective rule versions.</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10</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Controlled integration with existing cost engine</w:t>
            </w:r>
          </w:p>
        </w:tc>
        <w:tc>
          <w:tcPr>
            <w:tcW w:type="dxa" w:w="56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Apply only final approved decision outputs with range, freshness, confidence, impact-cap, fallback and kill-switch controls.</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11</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Monitoring, feedback and rollout</w:t>
            </w:r>
          </w:p>
        </w:tc>
        <w:tc>
          <w:tcPr>
            <w:tcW w:type="dxa" w:w="56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Track prediction-versus-actual, drift, fallback, overrides, financial impact, security, UAT and shadow-to-production promotion.</w:t>
            </w:r>
          </w:p>
        </w:tc>
      </w:tr>
    </w:tbl>
    <w:p>
      <w:pPr>
        <w:pStyle w:val="Heading1"/>
      </w:pPr>
      <w:r>
        <w:t>6. Required ML Outputs and Their Business Meaning</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0F6B78"/>
          </w:tcPr>
          <w:p>
            <w:pPr>
              <w:spacing w:after="0" w:before="0" w:line="252" w:lineRule="auto"/>
            </w:pPr>
            <w:r>
              <w:rPr>
                <w:b/>
                <w:color w:val="FFFFFF"/>
                <w:sz w:val="18"/>
              </w:rPr>
              <w:t>Output</w:t>
            </w:r>
          </w:p>
        </w:tc>
        <w:tc>
          <w:tcPr>
            <w:tcW w:type="dxa" w:w="1655"/>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0F6B78"/>
          </w:tcPr>
          <w:p>
            <w:pPr>
              <w:spacing w:after="0" w:before="0" w:line="252" w:lineRule="auto"/>
            </w:pPr>
            <w:r>
              <w:rPr>
                <w:b/>
                <w:color w:val="FFFFFF"/>
                <w:sz w:val="18"/>
              </w:rPr>
              <w:t>Model form</w:t>
            </w:r>
          </w:p>
        </w:tc>
        <w:tc>
          <w:tcPr>
            <w:tcW w:type="dxa" w:w="144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0F6B78"/>
          </w:tcPr>
          <w:p>
            <w:pPr>
              <w:spacing w:after="0" w:before="0" w:line="252" w:lineRule="auto"/>
            </w:pPr>
            <w:r>
              <w:rPr>
                <w:b/>
                <w:color w:val="FFFFFF"/>
                <w:sz w:val="18"/>
              </w:rPr>
              <w:t>Official unit</w:t>
            </w:r>
          </w:p>
        </w:tc>
        <w:tc>
          <w:tcPr>
            <w:tcW w:type="dxa" w:w="25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0F6B78"/>
          </w:tcPr>
          <w:p>
            <w:pPr>
              <w:spacing w:after="0" w:before="0" w:line="252" w:lineRule="auto"/>
            </w:pPr>
            <w:r>
              <w:rPr>
                <w:b/>
                <w:color w:val="FFFFFF"/>
                <w:sz w:val="18"/>
              </w:rPr>
              <w:t>Prediction meaning</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0F6B78"/>
          </w:tcPr>
          <w:p>
            <w:pPr>
              <w:spacing w:after="0" w:before="0" w:line="252" w:lineRule="auto"/>
            </w:pPr>
            <w:r>
              <w:rPr>
                <w:b/>
                <w:color w:val="FFFFFF"/>
                <w:sz w:val="18"/>
              </w:rPr>
              <w:t>Decision-engine result</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CSS</w:t>
            </w:r>
          </w:p>
        </w:tc>
        <w:tc>
          <w:tcPr>
            <w:tcW w:type="dxa" w:w="1655"/>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Classification probability</w:t>
            </w:r>
          </w:p>
        </w:tc>
        <w:tc>
          <w:tcPr>
            <w:tcW w:type="dxa" w:w="144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0-100%</w:t>
            </w:r>
          </w:p>
        </w:tc>
        <w:tc>
          <w:tcPr>
            <w:tcW w:type="dxa" w:w="25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Probability that the configuration will experience high scrap.</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Business rule selects scrap-risk band and FINAL_SCRAP_RATE.</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FMIS</w:t>
            </w:r>
          </w:p>
        </w:tc>
        <w:tc>
          <w:tcPr>
            <w:tcW w:type="dxa" w:w="1655"/>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Time-series forecast and ratio</w:t>
            </w:r>
          </w:p>
        </w:tc>
        <w:tc>
          <w:tcPr>
            <w:tcW w:type="dxa" w:w="144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Multiplier such as 1.06</w:t>
            </w:r>
          </w:p>
        </w:tc>
        <w:tc>
          <w:tcPr>
            <w:tcW w:type="dxa" w:w="25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Predicted production-date material index divided by the approved current index.</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Business rule selects material-risk band and FINAL_FMIS_MULTIPLIER.</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TDS</w:t>
            </w:r>
          </w:p>
        </w:tc>
        <w:tc>
          <w:tcPr>
            <w:tcW w:type="dxa" w:w="1655"/>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Regression</w:t>
            </w:r>
          </w:p>
        </w:tc>
        <w:tc>
          <w:tcPr>
            <w:tcW w:type="dxa" w:w="144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Factor such as 1.40</w:t>
            </w:r>
          </w:p>
        </w:tc>
        <w:tc>
          <w:tcPr>
            <w:tcW w:type="dxa" w:w="25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Predicted actual-versus-standard tooling/maintenance impact.</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Business rule selects tooling-strain band and FINAL_TDS_FACTOR.</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BMCS</w:t>
            </w:r>
          </w:p>
        </w:tc>
        <w:tc>
          <w:tcPr>
            <w:tcW w:type="dxa" w:w="1655"/>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Classification probability</w:t>
            </w:r>
          </w:p>
        </w:tc>
        <w:tc>
          <w:tcPr>
            <w:tcW w:type="dxa" w:w="144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0-100%</w:t>
            </w:r>
          </w:p>
        </w:tc>
        <w:tc>
          <w:tcPr>
            <w:tcW w:type="dxa" w:w="25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Probability that the RFQ-to-KMAT configuration mapping is correct.</w:t>
            </w:r>
          </w:p>
        </w:tc>
        <w:tc>
          <w:tcPr>
            <w:tcW w:type="dxa" w:w="2736"/>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Business rule sets review status and FINAL_QUOTE_ALLOWED_FLAG.</w:t>
            </w:r>
          </w:p>
        </w:tc>
      </w:tr>
    </w:tbl>
    <w:tbl>
      <w:tblPr>
        <w:tblW w:type="auto" w:w="0"/>
        <w:jc w:val="center"/>
        <w:tblLayout w:type="fixed"/>
        <w:tblLook w:firstColumn="1" w:firstRow="1" w:lastColumn="0" w:lastRow="0" w:noHBand="0" w:noVBand="1" w:val="04A0"/>
      </w:tblPr>
      <w:tblGrid>
        <w:gridCol w:w="10166"/>
      </w:tblGrid>
      <w:tr>
        <w:tc>
          <w:tcPr>
            <w:tcW w:type="dxa" w:w="9216"/>
            <w:shd w:fill="FFF1DD"/>
            <w:tcMar>
              <w:top w:w="120" w:type="dxa"/>
              <w:start w:w="180" w:type="dxa"/>
              <w:bottom w:w="120" w:type="dxa"/>
              <w:end w:w="160" w:type="dxa"/>
            </w:tcMar>
            <w:tcBorders>
              <w:top w:val="single" w:sz="4" w:color="FFF1DD"/>
              <w:left w:val="single" w:sz="24" w:color="C26A00"/>
              <w:bottom w:val="single" w:sz="4" w:color="FFF1DD"/>
              <w:right w:val="single" w:sz="4" w:color="FFF1DD"/>
            </w:tcBorders>
          </w:tcPr>
          <w:p>
            <w:r>
              <w:rPr>
                <w:b/>
                <w:color w:val="C26A00"/>
                <w:sz w:val="21"/>
              </w:rPr>
              <w:t>Important unit rule</w:t>
              <w:br/>
            </w:r>
            <w:r>
              <w:rPr>
                <w:color w:val="1D2935"/>
                <w:sz w:val="19"/>
              </w:rPr>
              <w:t>CSS and BMCS are probability scores. FMIS is an economic multiplier. TDS is an operational factor. Optional normalized dashboard scores may be displayed, but official costing must retain the native prediction units.</w:t>
            </w:r>
          </w:p>
        </w:tc>
      </w:tr>
    </w:tbl>
    <w:p>
      <w:pPr>
        <w:spacing w:after="0" w:before="0"/>
      </w:pPr>
    </w:p>
    <w:p>
      <w:pPr>
        <w:pStyle w:val="Heading1"/>
      </w:pPr>
      <w:r>
        <w:t>7. Immediate Next Phase: Phase 8A</w:t>
      </w:r>
    </w:p>
    <w:p>
      <w:r>
        <w:t>Phase 8A must be completed before any production model training. Its purpose is to prove that each model has a reliable historical outcome to learn from.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Model</w:t>
            </w:r>
          </w:p>
        </w:tc>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Training-row grain</w:t>
            </w:r>
          </w:p>
        </w:tc>
        <w:tc>
          <w:tcPr>
            <w:tcW w:type="dxa" w:w="2951"/>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Historical target</w:t>
            </w:r>
          </w:p>
        </w:tc>
        <w:tc>
          <w:tcPr>
            <w:tcW w:type="dxa" w:w="31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Primary source groups</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CSS</w:t>
            </w:r>
          </w:p>
        </w:tc>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One completed production batch/configuration</w:t>
            </w:r>
          </w:p>
        </w:tc>
        <w:tc>
          <w:tcPr>
            <w:tcW w:type="dxa" w:w="2951"/>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Actual scrap rate and approved HIGH_SCRAP_FLAG</w:t>
            </w:r>
          </w:p>
        </w:tc>
        <w:tc>
          <w:tcPr>
            <w:tcW w:type="dxa" w:w="31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MES quality, production context, configured BOM/routing</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FMIS</w:t>
            </w:r>
          </w:p>
        </w:tc>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Commodity/supplier/region/forecast date</w:t>
            </w:r>
          </w:p>
        </w:tc>
        <w:tc>
          <w:tcPr>
            <w:tcW w:type="dxa" w:w="2951"/>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Actual future material index or realized purchase-price index</w:t>
            </w:r>
          </w:p>
        </w:tc>
        <w:tc>
          <w:tcPr>
            <w:tcW w:type="dxa" w:w="31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Commodity history, supplier prices, energy, freight, FX</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TDS</w:t>
            </w:r>
          </w:p>
        </w:tc>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Machine/work centre/operation/time period</w:t>
            </w:r>
          </w:p>
        </w:tc>
        <w:tc>
          <w:tcPr>
            <w:tcW w:type="dxa" w:w="2951"/>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Actual maintenance or tooling degradation factor</w:t>
            </w:r>
          </w:p>
        </w:tc>
        <w:tc>
          <w:tcPr>
            <w:tcW w:type="dxa" w:w="31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IoT, machine usage, maintenance events, downtime, tooling history</w:t>
            </w:r>
          </w:p>
        </w:tc>
      </w:tr>
      <w:tr>
        <w:tc>
          <w:tcPr>
            <w:tcW w:type="dxa" w:w="792"/>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BMCS</w:t>
            </w:r>
          </w:p>
        </w:tc>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One RFQ extraction and engineering review</w:t>
            </w:r>
          </w:p>
        </w:tc>
        <w:tc>
          <w:tcPr>
            <w:tcW w:type="dxa" w:w="2951"/>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CORRECT_MAPPING_FLAG and per-characteristic corrections</w:t>
            </w:r>
          </w:p>
        </w:tc>
        <w:tc>
          <w:tcPr>
            <w:tcW w:type="dxa" w:w="316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Original RFQ, extracted configuration, engineer-approved configuration</w:t>
            </w:r>
          </w:p>
        </w:tc>
      </w:tr>
    </w:tbl>
    <w:p>
      <w:pPr>
        <w:pStyle w:val="Heading2"/>
      </w:pPr>
      <w:r>
        <w:t>Phase 8A deliverables</w:t>
      </w:r>
    </w:p>
    <w:p>
      <w:pPr>
        <w:pStyle w:val="ListNumber"/>
        <w:spacing w:after="40"/>
      </w:pPr>
      <w:r>
        <w:t>Data-source inventory and ownership matrix for CSS, FMIS, TDS and BMCS.</w:t>
      </w:r>
    </w:p>
    <w:p>
      <w:pPr>
        <w:pStyle w:val="ListNumber"/>
        <w:spacing w:after="40"/>
      </w:pPr>
      <w:r>
        <w:t>Exact target definition, unit, prediction horizon and training-row grain for every model.</w:t>
      </w:r>
    </w:p>
    <w:p>
      <w:pPr>
        <w:pStyle w:val="ListNumber"/>
        <w:spacing w:after="40"/>
      </w:pPr>
      <w:r>
        <w:t>Point-in-time and leakage rules defining which information is available at prediction time.</w:t>
      </w:r>
    </w:p>
    <w:p>
      <w:pPr>
        <w:pStyle w:val="ListNumber"/>
        <w:spacing w:after="40"/>
      </w:pPr>
      <w:r>
        <w:t>Data-quality profile covering missingness, duplicates, invalid ranges, join failures and historical coverage.</w:t>
      </w:r>
    </w:p>
    <w:p>
      <w:pPr>
        <w:pStyle w:val="ListNumber"/>
        <w:spacing w:after="40"/>
      </w:pPr>
      <w:r>
        <w:t>Training-eligibility view or table for each model.</w:t>
      </w:r>
    </w:p>
    <w:p>
      <w:pPr>
        <w:pStyle w:val="ListNumber"/>
        <w:spacing w:after="40"/>
      </w:pPr>
      <w:r>
        <w:t>Readiness decision: READY, LIMITED, or NOT_READY, with documented reason and fallback.</w:t>
      </w:r>
    </w:p>
    <w:p>
      <w:pPr>
        <w:pStyle w:val="Heading2"/>
      </w:pPr>
      <w:r>
        <w:t>Phase 8A acceptance gate</w:t>
      </w:r>
    </w:p>
    <w:p>
      <w:pPr>
        <w:pStyle w:val="ListBullet"/>
        <w:spacing w:after="40"/>
      </w:pPr>
      <w:r>
        <w:t>The target represents an observed business outcome, not an LLM-generated label.</w:t>
      </w:r>
    </w:p>
    <w:p>
      <w:pPr>
        <w:pStyle w:val="ListBullet"/>
        <w:spacing w:after="40"/>
      </w:pPr>
      <w:r>
        <w:t>Historical records can be joined reliably to configuration, component, operation, machine, supplier or RFQ entities.</w:t>
      </w:r>
    </w:p>
    <w:p>
      <w:pPr>
        <w:pStyle w:val="ListBullet"/>
        <w:spacing w:after="40"/>
      </w:pPr>
      <w:r>
        <w:t>No feature contains information created after the prediction as-of timestamp.</w:t>
      </w:r>
    </w:p>
    <w:p>
      <w:pPr>
        <w:pStyle w:val="ListBullet"/>
        <w:spacing w:after="40"/>
      </w:pPr>
      <w:r>
        <w:t>The dataset has enough valid history and outcome variation for train/validation/test separation.</w:t>
      </w:r>
    </w:p>
    <w:p>
      <w:pPr>
        <w:pStyle w:val="ListBullet"/>
        <w:spacing w:after="40"/>
      </w:pPr>
      <w:r>
        <w:t>Business and technical owners approve target definitions before model training begins.</w:t>
      </w:r>
    </w:p>
    <w:p>
      <w:r>
        <w:rPr>
          <w:b/>
          <w:color w:val="A33A3A"/>
        </w:rPr>
        <w:t xml:space="preserve">Not permitted in Phase 8A: </w:t>
      </w:r>
      <w:r>
        <w:t>modifying the official cost procedure, approving a production model trained on synthetic data, allowing raw predictions to affect cost, or hard-coding final business thresholds inside ML code.</w:t>
      </w:r>
    </w:p>
    <w:p>
      <w:pPr>
        <w:sectPr>
          <w:headerReference w:type="default" r:id="rId9"/>
          <w:footerReference w:type="default" r:id="rId10"/>
          <w:pgSz w:w="12240" w:h="15840"/>
          <w:pgMar w:top="936" w:right="1037" w:bottom="936" w:left="1037" w:header="720" w:footer="720" w:gutter="0"/>
          <w:cols w:space="720"/>
          <w:docGrid w:linePitch="360"/>
        </w:sectPr>
      </w:pPr>
    </w:p>
    <w:p>
      <w:pPr>
        <w:pStyle w:val="Heading1"/>
      </w:pPr>
      <w:r>
        <w:t>8. End-to-End Production Flowchart</w:t>
      </w:r>
    </w:p>
    <w:p>
      <w:pPr>
        <w:jc w:val="left"/>
      </w:pPr>
      <w:r>
        <w:t>The flow below separates completed Cortex capabilities, future ML prediction, governed business decisions, deterministic cost calculation and the operational feedback loop.</w:t>
      </w:r>
    </w:p>
    <w:p>
      <w:pPr>
        <w:spacing w:before="80" w:after="60"/>
        <w:jc w:val="center"/>
      </w:pPr>
      <w:r>
        <w:drawing>
          <wp:inline xmlns:a="http://schemas.openxmlformats.org/drawingml/2006/main" xmlns:pic="http://schemas.openxmlformats.org/drawingml/2006/picture">
            <wp:extent cx="8641080" cy="743516"/>
            <wp:docPr id="1" name="Picture 1"/>
            <wp:cNvGraphicFramePr>
              <a:graphicFrameLocks noChangeAspect="1"/>
            </wp:cNvGraphicFramePr>
            <a:graphic>
              <a:graphicData uri="http://schemas.openxmlformats.org/drawingml/2006/picture">
                <pic:pic>
                  <pic:nvPicPr>
                    <pic:cNvPr id="0" name="kmat_production_flow.png"/>
                    <pic:cNvPicPr/>
                  </pic:nvPicPr>
                  <pic:blipFill>
                    <a:blip r:embed="rId11"/>
                    <a:stretch>
                      <a:fillRect/>
                    </a:stretch>
                  </pic:blipFill>
                  <pic:spPr>
                    <a:xfrm>
                      <a:off x="0" y="0"/>
                      <a:ext cx="8641080" cy="743516"/>
                    </a:xfrm>
                    <a:prstGeom prst="rect"/>
                  </pic:spPr>
                </pic:pic>
              </a:graphicData>
            </a:graphic>
          </wp:inline>
        </w:drawing>
      </w:r>
    </w:p>
    <w:p>
      <w:pPr>
        <w:jc w:val="center"/>
      </w:pPr>
      <w:r>
        <w:rPr>
          <w:i/>
          <w:color w:val="0F6B78"/>
          <w:sz w:val="17"/>
        </w:rPr>
        <w:t>Figure 1. Completed Phase 7 and production roadmap through governed ML, decisioning, cost integration and monitoring.</w:t>
      </w:r>
    </w:p>
    <w:p>
      <w:pPr>
        <w:sectPr>
          <w:pgSz w:w="15840" w:h="12240" w:orient="landscape"/>
          <w:pgMar w:top="792" w:right="792" w:bottom="792" w:left="792" w:header="720" w:footer="720" w:gutter="0"/>
          <w:cols w:space="720"/>
          <w:docGrid w:linePitch="360"/>
        </w:sectPr>
      </w:pPr>
    </w:p>
    <w:p>
      <w:pPr>
        <w:pStyle w:val="Heading1"/>
      </w:pPr>
      <w:r>
        <w:t>9. Business Decision and Cost Integration Contract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0F6B78"/>
          </w:tcPr>
          <w:p>
            <w:pPr>
              <w:spacing w:after="0" w:before="0" w:line="252" w:lineRule="auto"/>
            </w:pPr>
            <w:r>
              <w:rPr>
                <w:b/>
                <w:color w:val="FFFFFF"/>
                <w:sz w:val="18"/>
              </w:rPr>
              <w:t>Prediction</w:t>
            </w:r>
          </w:p>
        </w:tc>
        <w:tc>
          <w:tcPr>
            <w:tcW w:type="dxa" w:w="180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0F6B78"/>
          </w:tcPr>
          <w:p>
            <w:pPr>
              <w:spacing w:after="0" w:before="0" w:line="252" w:lineRule="auto"/>
            </w:pPr>
            <w:r>
              <w:rPr>
                <w:b/>
                <w:color w:val="FFFFFF"/>
                <w:sz w:val="18"/>
              </w:rPr>
              <w:t>Policy owner</w:t>
            </w:r>
          </w:p>
        </w:tc>
        <w:tc>
          <w:tcPr>
            <w:tcW w:type="dxa" w:w="35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0F6B78"/>
          </w:tcPr>
          <w:p>
            <w:pPr>
              <w:spacing w:after="0" w:before="0" w:line="252" w:lineRule="auto"/>
            </w:pPr>
            <w:r>
              <w:rPr>
                <w:b/>
                <w:color w:val="FFFFFF"/>
                <w:sz w:val="18"/>
              </w:rPr>
              <w:t>Approved decision output</w:t>
            </w:r>
          </w:p>
        </w:tc>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0F6B78"/>
          </w:tcPr>
          <w:p>
            <w:pPr>
              <w:spacing w:after="0" w:before="0" w:line="252" w:lineRule="auto"/>
            </w:pPr>
            <w:r>
              <w:rPr>
                <w:b/>
                <w:color w:val="FFFFFF"/>
                <w:sz w:val="18"/>
              </w:rPr>
              <w:t>Cost-engine usage</w:t>
            </w:r>
          </w:p>
        </w:tc>
      </w:tr>
      <w:tr>
        <w:tc>
          <w:tcPr>
            <w:tcW w:type="dxa" w:w="158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CSS_SCORE</w:t>
            </w:r>
          </w:p>
        </w:tc>
        <w:tc>
          <w:tcPr>
            <w:tcW w:type="dxa" w:w="180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CSS decision rules</w:t>
            </w:r>
          </w:p>
        </w:tc>
        <w:tc>
          <w:tcPr>
            <w:tcW w:type="dxa" w:w="35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SCRAP_RISK_BAND, FINAL_SCRAP_RATE, REVIEW_REQUIRED_FLAG</w:t>
            </w:r>
          </w:p>
        </w:tc>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Material quantity/cost adjustment</w:t>
            </w:r>
          </w:p>
        </w:tc>
      </w:tr>
      <w:tr>
        <w:tc>
          <w:tcPr>
            <w:tcW w:type="dxa" w:w="158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FMIS_MULTIPLIER</w:t>
            </w:r>
          </w:p>
        </w:tc>
        <w:tc>
          <w:tcPr>
            <w:tcW w:type="dxa" w:w="180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FMIS decision rules</w:t>
            </w:r>
          </w:p>
        </w:tc>
        <w:tc>
          <w:tcPr>
            <w:tcW w:type="dxa" w:w="35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MATERIAL_RISK_BAND, FINAL_FMIS_MULTIPLIER, PROCUREMENT_REVIEW_FLAG</w:t>
            </w:r>
          </w:p>
        </w:tc>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Forward material unit cost</w:t>
            </w:r>
          </w:p>
        </w:tc>
      </w:tr>
      <w:tr>
        <w:tc>
          <w:tcPr>
            <w:tcW w:type="dxa" w:w="158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TDS_FACTOR</w:t>
            </w:r>
          </w:p>
        </w:tc>
        <w:tc>
          <w:tcPr>
            <w:tcW w:type="dxa" w:w="180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TDS decision rules</w:t>
            </w:r>
          </w:p>
        </w:tc>
        <w:tc>
          <w:tcPr>
            <w:tcW w:type="dxa" w:w="35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TOOLING_STRAIN_BAND, FINAL_TDS_FACTOR, MAINTENANCE_REVIEW_FLAG</w:t>
            </w:r>
          </w:p>
        </w:tc>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Machine maintenance/depreciation adjustment</w:t>
            </w:r>
          </w:p>
        </w:tc>
      </w:tr>
      <w:tr>
        <w:tc>
          <w:tcPr>
            <w:tcW w:type="dxa" w:w="158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BMCS_SCORE</w:t>
            </w:r>
          </w:p>
        </w:tc>
        <w:tc>
          <w:tcPr>
            <w:tcW w:type="dxa" w:w="180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BMCS decision rules</w:t>
            </w:r>
          </w:p>
        </w:tc>
        <w:tc>
          <w:tcPr>
            <w:tcW w:type="dxa" w:w="35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REVIEW_STATUS, FINAL_QUOTE_ALLOWED_FLAG</w:t>
            </w:r>
          </w:p>
        </w:tc>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Quote trust only; no direct cost addition</w:t>
            </w:r>
          </w:p>
        </w:tc>
      </w:tr>
    </w:tbl>
    <w:p>
      <w:r>
        <w:rPr>
          <w:b/>
        </w:rPr>
        <w:t xml:space="preserve">Final factor-selection hierarchy: </w:t>
      </w:r>
      <w:r>
        <w:t>approved business-decision value -&gt; approved manual override -&gt; deterministic rule fallback -&gt; safe baseline default.</w:t>
      </w:r>
    </w:p>
    <w:p>
      <w:pPr>
        <w:pStyle w:val="Heading1"/>
      </w:pPr>
      <w:r>
        <w:t>10. Mandatory Production Controls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Control area</w:t>
            </w:r>
          </w:p>
        </w:tc>
        <w:tc>
          <w:tcPr>
            <w:tcW w:type="dxa" w:w="71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Minimum requirement</w:t>
            </w:r>
          </w:p>
        </w:tc>
      </w:tr>
      <w:tr>
        <w:tc>
          <w:tcPr>
            <w:tcW w:type="dxa" w:w="20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Model governance</w:t>
            </w:r>
          </w:p>
        </w:tc>
        <w:tc>
          <w:tcPr>
            <w:tcW w:type="dxa" w:w="71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Version, feature/data version, owner, metrics, deployment mode and approval status.</w:t>
            </w:r>
          </w:p>
        </w:tc>
      </w:tr>
      <w:tr>
        <w:tc>
          <w:tcPr>
            <w:tcW w:type="dxa" w:w="20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Prediction controls</w:t>
            </w:r>
          </w:p>
        </w:tc>
        <w:tc>
          <w:tcPr>
            <w:tcW w:type="dxa" w:w="71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Data-quality status, freshness, confidence or interval, allowed range and fallback flag.</w:t>
            </w:r>
          </w:p>
        </w:tc>
      </w:tr>
      <w:tr>
        <w:tc>
          <w:tcPr>
            <w:tcW w:type="dxa" w:w="20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Financial controls</w:t>
            </w:r>
          </w:p>
        </w:tc>
        <w:tc>
          <w:tcPr>
            <w:tcW w:type="dxa" w:w="71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Maximum cost-impact cap, approved rate/factor, manual override and quote-trust gate.</w:t>
            </w:r>
          </w:p>
        </w:tc>
      </w:tr>
      <w:tr>
        <w:tc>
          <w:tcPr>
            <w:tcW w:type="dxa" w:w="20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Auditability</w:t>
            </w:r>
          </w:p>
        </w:tc>
        <w:tc>
          <w:tcPr>
            <w:tcW w:type="dxa" w:w="71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Immutable prediction, decision, override and cost-run records.</w:t>
            </w:r>
          </w:p>
        </w:tc>
      </w:tr>
      <w:tr>
        <w:tc>
          <w:tcPr>
            <w:tcW w:type="dxa" w:w="20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Reliability</w:t>
            </w:r>
          </w:p>
        </w:tc>
        <w:tc>
          <w:tcPr>
            <w:tcW w:type="dxa" w:w="71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Idempotent procedures, error logging, retry policy, kill switch and deterministic fallback.</w:t>
            </w:r>
          </w:p>
        </w:tc>
      </w:tr>
      <w:tr>
        <w:tc>
          <w:tcPr>
            <w:tcW w:type="dxa" w:w="20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Deployment</w:t>
            </w:r>
          </w:p>
        </w:tc>
        <w:tc>
          <w:tcPr>
            <w:tcW w:type="dxa" w:w="71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DEV/TEST/UAT/PROD separation; shadow, advisory, controlled and production rollout.</w:t>
            </w:r>
          </w:p>
        </w:tc>
      </w:tr>
      <w:tr>
        <w:tc>
          <w:tcPr>
            <w:tcW w:type="dxa" w:w="208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Monitoring</w:t>
            </w:r>
          </w:p>
        </w:tc>
        <w:tc>
          <w:tcPr>
            <w:tcW w:type="dxa" w:w="712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Prediction versus actual, drift, fallback, override, underquote, margin and review metrics.</w:t>
            </w:r>
          </w:p>
        </w:tc>
      </w:tr>
    </w:tbl>
    <w:p>
      <w:r>
        <w:br w:type="page"/>
      </w:r>
    </w:p>
    <w:p>
      <w:pPr>
        <w:pStyle w:val="Heading1"/>
      </w:pPr>
      <w:r>
        <w:t>11. Milestone and Status Summary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Milestone</w:t>
            </w:r>
          </w:p>
        </w:tc>
        <w:tc>
          <w:tcPr>
            <w:tcW w:type="dxa" w:w="122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Status</w:t>
            </w:r>
          </w:p>
        </w:tc>
        <w:tc>
          <w:tcPr>
            <w:tcW w:type="dxa" w:w="288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Financial authority</w:t>
            </w:r>
          </w:p>
        </w:tc>
        <w:tc>
          <w:tcPr>
            <w:tcW w:type="dxa" w:w="266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163A5F"/>
          </w:tcPr>
          <w:p>
            <w:pPr>
              <w:spacing w:after="0" w:before="0" w:line="252" w:lineRule="auto"/>
            </w:pPr>
            <w:r>
              <w:rPr>
                <w:b/>
                <w:color w:val="FFFFFF"/>
                <w:sz w:val="18"/>
              </w:rPr>
              <w:t>Next action</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Deterministic KMAT cost model</w:t>
            </w:r>
          </w:p>
        </w:tc>
        <w:tc>
          <w:tcPr>
            <w:tcW w:type="dxa" w:w="122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E6F4EA"/>
          </w:tcPr>
          <w:p>
            <w:pPr>
              <w:jc w:val="center"/>
            </w:pPr>
            <w:r/>
            <w:r>
              <w:rPr>
                <w:b/>
                <w:color w:val="2E7D32"/>
                <w:sz w:val="18"/>
              </w:rPr>
              <w:t>Completed</w:t>
            </w:r>
          </w:p>
        </w:tc>
        <w:tc>
          <w:tcPr>
            <w:tcW w:type="dxa" w:w="288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Official baseline and current risk costing</w:t>
            </w:r>
          </w:p>
        </w:tc>
        <w:tc>
          <w:tcPr>
            <w:tcW w:type="dxa" w:w="266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Preserve as source of truth</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Cortex intelligence layer</w:t>
            </w:r>
          </w:p>
        </w:tc>
        <w:tc>
          <w:tcPr>
            <w:tcW w:type="dxa" w:w="122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E6F4EA"/>
          </w:tcPr>
          <w:p>
            <w:pPr>
              <w:jc w:val="center"/>
            </w:pPr>
            <w:r/>
            <w:r>
              <w:rPr>
                <w:b/>
                <w:color w:val="2E7D32"/>
                <w:sz w:val="18"/>
              </w:rPr>
              <w:t>Completed</w:t>
            </w:r>
          </w:p>
        </w:tc>
        <w:tc>
          <w:tcPr>
            <w:tcW w:type="dxa" w:w="288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No direct financial authority</w:t>
            </w:r>
          </w:p>
        </w:tc>
        <w:tc>
          <w:tcPr>
            <w:tcW w:type="dxa" w:w="266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Use for RFQ intelligence and explanations</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Governed ML prediction layer</w:t>
            </w:r>
          </w:p>
        </w:tc>
        <w:tc>
          <w:tcPr>
            <w:tcW w:type="dxa" w:w="122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FF1DD"/>
          </w:tcPr>
          <w:p>
            <w:pPr>
              <w:jc w:val="center"/>
            </w:pPr>
            <w:r/>
            <w:r>
              <w:rPr>
                <w:b/>
                <w:color w:val="C26A00"/>
                <w:sz w:val="18"/>
              </w:rPr>
              <w:t>Next</w:t>
            </w:r>
          </w:p>
        </w:tc>
        <w:tc>
          <w:tcPr>
            <w:tcW w:type="dxa" w:w="288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Prediction only in shadow mode</w:t>
            </w:r>
          </w:p>
        </w:tc>
        <w:tc>
          <w:tcPr>
            <w:tcW w:type="dxa" w:w="266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Begin Phase 8A data contracts</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Business decision engine</w:t>
            </w:r>
          </w:p>
        </w:tc>
        <w:tc>
          <w:tcPr>
            <w:tcW w:type="dxa" w:w="122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DCEAF5"/>
          </w:tcPr>
          <w:p>
            <w:pPr>
              <w:jc w:val="center"/>
            </w:pPr>
            <w:r/>
            <w:r>
              <w:rPr>
                <w:b/>
                <w:color w:val="163A5F"/>
                <w:sz w:val="18"/>
              </w:rPr>
              <w:t>Planned</w:t>
            </w:r>
          </w:p>
        </w:tc>
        <w:tc>
          <w:tcPr>
            <w:tcW w:type="dxa" w:w="288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Approves rates, factors and quote actions</w:t>
            </w:r>
          </w:p>
        </w:tc>
        <w:tc>
          <w:tcPr>
            <w:tcW w:type="dxa" w:w="266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Build after validated ML outputs</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Controlled ML-cost integration</w:t>
            </w:r>
          </w:p>
        </w:tc>
        <w:tc>
          <w:tcPr>
            <w:tcW w:type="dxa" w:w="122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DCEAF5"/>
          </w:tcPr>
          <w:p>
            <w:pPr>
              <w:jc w:val="center"/>
            </w:pPr>
            <w:r/>
            <w:r>
              <w:rPr>
                <w:b/>
                <w:color w:val="163A5F"/>
                <w:sz w:val="18"/>
              </w:rPr>
              <w:t>Planned</w:t>
            </w:r>
          </w:p>
        </w:tc>
        <w:tc>
          <w:tcPr>
            <w:tcW w:type="dxa" w:w="288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Official cost impact through approved values</w:t>
            </w:r>
          </w:p>
        </w:tc>
        <w:tc>
          <w:tcPr>
            <w:tcW w:type="dxa" w:w="266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tcPr>
          <w:p>
            <w:pPr>
              <w:spacing w:after="0" w:before="0" w:line="252" w:lineRule="auto"/>
            </w:pPr>
            <w:r>
              <w:rPr>
                <w:sz w:val="18"/>
              </w:rPr>
              <w:t>Enable only after shadow/UAT approval</w:t>
            </w:r>
          </w:p>
        </w:tc>
      </w:tr>
      <w:tr>
        <w:tc>
          <w:tcPr>
            <w:tcW w:type="dxa" w:w="2448"/>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Production monitoring and rollout</w:t>
            </w:r>
          </w:p>
        </w:tc>
        <w:tc>
          <w:tcPr>
            <w:tcW w:type="dxa" w:w="122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DCEAF5"/>
          </w:tcPr>
          <w:p>
            <w:pPr>
              <w:jc w:val="center"/>
            </w:pPr>
            <w:r/>
            <w:r>
              <w:rPr>
                <w:b/>
                <w:color w:val="163A5F"/>
                <w:sz w:val="18"/>
              </w:rPr>
              <w:t>Planned</w:t>
            </w:r>
          </w:p>
        </w:tc>
        <w:tc>
          <w:tcPr>
            <w:tcW w:type="dxa" w:w="2880"/>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Operational control and rollback</w:t>
            </w:r>
          </w:p>
        </w:tc>
        <w:tc>
          <w:tcPr>
            <w:tcW w:type="dxa" w:w="2664"/>
            <w:vAlign w:val="center"/>
            <w:tcMar>
              <w:top w:w="80" w:type="dxa"/>
              <w:start w:w="100" w:type="dxa"/>
              <w:bottom w:w="80" w:type="dxa"/>
              <w:end w:w="100" w:type="dxa"/>
            </w:tcMar>
            <w:tcBorders>
              <w:top w:val="single" w:sz="4" w:color="D9E0E6"/>
              <w:left w:val="single" w:sz="4" w:color="D9E0E6"/>
              <w:bottom w:val="single" w:sz="4" w:color="D9E0E6"/>
              <w:right w:val="single" w:sz="4" w:color="D9E0E6"/>
            </w:tcBorders>
            <w:shd w:fill="F3F5F7"/>
          </w:tcPr>
          <w:p>
            <w:pPr>
              <w:spacing w:after="0" w:before="0" w:line="252" w:lineRule="auto"/>
            </w:pPr>
            <w:r>
              <w:rPr>
                <w:sz w:val="18"/>
              </w:rPr>
              <w:t>Monitor continuously after deployment</w:t>
            </w:r>
          </w:p>
        </w:tc>
      </w:tr>
    </w:tbl>
    <w:p>
      <w:pPr>
        <w:pStyle w:val="Heading1"/>
      </w:pPr>
      <w:r>
        <w:t>12. Source Documents Used</w:t>
      </w:r>
    </w:p>
    <w:p>
      <w:r>
        <w:t>1. Cost Model Feature Engineering document supplied by the project manager, including the deterministic/AI two-layer architecture and definitions of CSS, FMIS, TDS and BMCS.</w:t>
      </w:r>
    </w:p>
    <w:p>
      <w:r>
        <w:t>2. Current KMAT Streamlit application and Snowflake implementation developed through Phase 7.</w:t>
      </w:r>
    </w:p>
    <w:p>
      <w:r>
        <w:t>3. Project decisions and completion status recorded during the implementation sequence.</w:t>
      </w:r>
    </w:p>
    <w:tbl>
      <w:tblPr>
        <w:tblW w:type="auto" w:w="0"/>
        <w:jc w:val="center"/>
        <w:tblLayout w:type="fixed"/>
        <w:tblLook w:firstColumn="1" w:firstRow="1" w:lastColumn="0" w:lastRow="0" w:noHBand="0" w:noVBand="1" w:val="04A0"/>
      </w:tblPr>
      <w:tblGrid>
        <w:gridCol w:w="10166"/>
      </w:tblGrid>
      <w:tr>
        <w:tc>
          <w:tcPr>
            <w:tcW w:type="dxa" w:w="9216"/>
            <w:shd w:fill="DDF1F0"/>
            <w:tcMar>
              <w:top w:w="120" w:type="dxa"/>
              <w:start w:w="180" w:type="dxa"/>
              <w:bottom w:w="120" w:type="dxa"/>
              <w:end w:w="160" w:type="dxa"/>
            </w:tcMar>
            <w:tcBorders>
              <w:top w:val="single" w:sz="4" w:color="DDF1F0"/>
              <w:left w:val="single" w:sz="24" w:color="0F6B78"/>
              <w:bottom w:val="single" w:sz="4" w:color="DDF1F0"/>
              <w:right w:val="single" w:sz="4" w:color="DDF1F0"/>
            </w:tcBorders>
          </w:tcPr>
          <w:p>
            <w:r>
              <w:rPr>
                <w:b/>
                <w:color w:val="0F6B78"/>
                <w:sz w:val="21"/>
              </w:rPr>
              <w:t>Immediate action</w:t>
              <w:br/>
            </w:r>
            <w:r>
              <w:rPr>
                <w:color w:val="1D2935"/>
                <w:sz w:val="19"/>
              </w:rPr>
              <w:t>Start Phase 8A by documenting the data contract and target definition for CSS first. Do not train or integrate a model until the CSS historical outcome, row grain, as-of timestamp and data-quality gate are approved.</w:t>
            </w:r>
          </w:p>
        </w:tc>
      </w:tr>
    </w:tbl>
    <w:p>
      <w:pPr>
        <w:spacing w:after="0" w:before="0"/>
      </w:pP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F6B78"/>
        <w:sz w:val="16"/>
      </w:rPr>
      <w:t>KMAT Cost Model | Project Completion and Production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1D29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D29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0F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KMAT Cost Model - Completed Work and Production Roadmap</dc:title>
  <dc:subject>Production roadmap after Phase 7</dc:subject>
  <dc:creator>KMAT Cost Model Project Team</dc:creator>
  <cp:keywords>KMAT, Snowflake, Snowpark, Cortex AI, ML, CSS, FMIS, TDS, BMCS</cp:keywords>
  <dc:description>generated by python-docx</dc:description>
  <cp:lastModifiedBy/>
  <cp:revision>1</cp:revision>
  <dcterms:created xsi:type="dcterms:W3CDTF">2013-12-23T23:15:00Z</dcterms:created>
  <dcterms:modified xsi:type="dcterms:W3CDTF">2013-12-23T23:15:00Z</dcterms:modified>
  <cp:category/>
</cp:coreProperties>
</file>