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A597E" w14:textId="6631A1E1" w:rsidR="00586368" w:rsidRDefault="00586368" w:rsidP="00806A84">
      <w:pPr>
        <w:jc w:val="both"/>
        <w:rPr>
          <w:b/>
          <w:bCs/>
          <w:sz w:val="24"/>
          <w:szCs w:val="24"/>
        </w:rPr>
      </w:pPr>
      <w:r>
        <w:rPr>
          <w:noProof/>
        </w:rPr>
        <w:drawing>
          <wp:inline distT="0" distB="0" distL="0" distR="0" wp14:anchorId="191C249C" wp14:editId="67B52F6A">
            <wp:extent cx="5715000" cy="1935480"/>
            <wp:effectExtent l="0" t="0" r="0" b="7620"/>
            <wp:docPr id="136545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58510"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935480"/>
                    </a:xfrm>
                    <a:prstGeom prst="rect">
                      <a:avLst/>
                    </a:prstGeom>
                    <a:noFill/>
                    <a:ln>
                      <a:noFill/>
                    </a:ln>
                  </pic:spPr>
                </pic:pic>
              </a:graphicData>
            </a:graphic>
          </wp:inline>
        </w:drawing>
      </w:r>
    </w:p>
    <w:p w14:paraId="31D0E841" w14:textId="77777777" w:rsidR="00586368" w:rsidRDefault="00586368" w:rsidP="00806A84">
      <w:pPr>
        <w:jc w:val="both"/>
        <w:rPr>
          <w:b/>
          <w:bCs/>
          <w:sz w:val="24"/>
          <w:szCs w:val="24"/>
        </w:rPr>
      </w:pPr>
    </w:p>
    <w:p w14:paraId="39C6BC72" w14:textId="77777777" w:rsidR="00586368" w:rsidRDefault="00586368" w:rsidP="00806A84">
      <w:pPr>
        <w:jc w:val="both"/>
        <w:rPr>
          <w:b/>
          <w:bCs/>
          <w:sz w:val="24"/>
          <w:szCs w:val="24"/>
        </w:rPr>
      </w:pPr>
    </w:p>
    <w:p w14:paraId="5A945D52" w14:textId="77777777" w:rsidR="00586368" w:rsidRPr="00586368" w:rsidRDefault="00586368" w:rsidP="00586368">
      <w:pPr>
        <w:jc w:val="both"/>
        <w:rPr>
          <w:b/>
          <w:bCs/>
          <w:sz w:val="24"/>
          <w:szCs w:val="24"/>
        </w:rPr>
      </w:pPr>
      <w:r w:rsidRPr="00586368">
        <w:rPr>
          <w:b/>
          <w:bCs/>
          <w:sz w:val="24"/>
          <w:szCs w:val="24"/>
        </w:rPr>
        <w:t>Course Title:</w:t>
      </w:r>
    </w:p>
    <w:p w14:paraId="3CD1BDCB" w14:textId="6851D253" w:rsidR="00586368" w:rsidRPr="00586368" w:rsidRDefault="00614AD9" w:rsidP="00586368">
      <w:pPr>
        <w:jc w:val="both"/>
        <w:rPr>
          <w:b/>
          <w:bCs/>
          <w:sz w:val="24"/>
          <w:szCs w:val="24"/>
        </w:rPr>
      </w:pPr>
      <w:r>
        <w:rPr>
          <w:b/>
          <w:bCs/>
          <w:sz w:val="24"/>
          <w:szCs w:val="24"/>
        </w:rPr>
        <w:t>Professional ethics</w:t>
      </w:r>
    </w:p>
    <w:p w14:paraId="556AE764" w14:textId="77777777" w:rsidR="00586368" w:rsidRPr="00586368" w:rsidRDefault="00586368" w:rsidP="00586368">
      <w:pPr>
        <w:jc w:val="both"/>
        <w:rPr>
          <w:b/>
          <w:bCs/>
          <w:sz w:val="24"/>
          <w:szCs w:val="24"/>
        </w:rPr>
      </w:pPr>
      <w:r w:rsidRPr="00586368">
        <w:rPr>
          <w:b/>
          <w:bCs/>
          <w:sz w:val="24"/>
          <w:szCs w:val="24"/>
        </w:rPr>
        <w:t>Course Code:</w:t>
      </w:r>
    </w:p>
    <w:p w14:paraId="6E70E924" w14:textId="17E8A08B" w:rsidR="00586368" w:rsidRPr="00586368" w:rsidRDefault="00614AD9" w:rsidP="00586368">
      <w:pPr>
        <w:jc w:val="both"/>
        <w:rPr>
          <w:b/>
          <w:bCs/>
          <w:sz w:val="24"/>
          <w:szCs w:val="24"/>
        </w:rPr>
      </w:pPr>
      <w:r w:rsidRPr="00614AD9">
        <w:rPr>
          <w:b/>
          <w:bCs/>
          <w:sz w:val="24"/>
          <w:szCs w:val="24"/>
        </w:rPr>
        <w:t>21LEM201T</w:t>
      </w:r>
    </w:p>
    <w:p w14:paraId="7CAD0110" w14:textId="77777777" w:rsidR="00586368" w:rsidRPr="00586368" w:rsidRDefault="00586368" w:rsidP="00586368">
      <w:pPr>
        <w:jc w:val="both"/>
        <w:rPr>
          <w:b/>
          <w:bCs/>
          <w:sz w:val="24"/>
          <w:szCs w:val="24"/>
        </w:rPr>
      </w:pPr>
      <w:r w:rsidRPr="00586368">
        <w:rPr>
          <w:b/>
          <w:bCs/>
          <w:sz w:val="24"/>
          <w:szCs w:val="24"/>
        </w:rPr>
        <w:t>Faculty Name:</w:t>
      </w:r>
    </w:p>
    <w:p w14:paraId="140EB947" w14:textId="06A520CB" w:rsidR="00586368" w:rsidRPr="00586368" w:rsidRDefault="00586368" w:rsidP="00586368">
      <w:pPr>
        <w:jc w:val="both"/>
        <w:rPr>
          <w:b/>
          <w:bCs/>
          <w:sz w:val="24"/>
          <w:szCs w:val="24"/>
        </w:rPr>
      </w:pPr>
      <w:r w:rsidRPr="00586368">
        <w:rPr>
          <w:b/>
          <w:bCs/>
          <w:sz w:val="24"/>
          <w:szCs w:val="24"/>
        </w:rPr>
        <w:t xml:space="preserve">Dr. </w:t>
      </w:r>
      <w:r w:rsidR="00614AD9">
        <w:rPr>
          <w:b/>
          <w:bCs/>
          <w:sz w:val="24"/>
          <w:szCs w:val="24"/>
        </w:rPr>
        <w:t>Thomas alwa Edison</w:t>
      </w:r>
    </w:p>
    <w:p w14:paraId="6B40584C" w14:textId="77777777" w:rsidR="00586368" w:rsidRDefault="00586368" w:rsidP="00586368">
      <w:pPr>
        <w:jc w:val="both"/>
        <w:rPr>
          <w:b/>
          <w:bCs/>
          <w:sz w:val="24"/>
          <w:szCs w:val="24"/>
        </w:rPr>
      </w:pPr>
    </w:p>
    <w:p w14:paraId="209BD186" w14:textId="61DC20B5" w:rsidR="00586368" w:rsidRDefault="009B058D" w:rsidP="009B058D">
      <w:pPr>
        <w:jc w:val="both"/>
        <w:rPr>
          <w:sz w:val="24"/>
          <w:szCs w:val="24"/>
        </w:rPr>
      </w:pPr>
      <w:r>
        <w:rPr>
          <w:b/>
          <w:bCs/>
          <w:sz w:val="24"/>
          <w:szCs w:val="24"/>
        </w:rPr>
        <w:t xml:space="preserve">Presentation </w:t>
      </w:r>
      <w:r w:rsidR="00586368" w:rsidRPr="007B58EE">
        <w:rPr>
          <w:b/>
          <w:bCs/>
          <w:sz w:val="24"/>
          <w:szCs w:val="24"/>
        </w:rPr>
        <w:t>Title</w:t>
      </w:r>
    </w:p>
    <w:p w14:paraId="31AA2BC8" w14:textId="66373F30" w:rsidR="009B058D" w:rsidRPr="00806A84" w:rsidRDefault="009B058D" w:rsidP="009B058D">
      <w:pPr>
        <w:tabs>
          <w:tab w:val="left" w:pos="1305"/>
        </w:tabs>
        <w:jc w:val="both"/>
        <w:rPr>
          <w:sz w:val="24"/>
          <w:szCs w:val="24"/>
        </w:rPr>
      </w:pPr>
      <w:r w:rsidRPr="009B058D">
        <w:rPr>
          <w:sz w:val="24"/>
          <w:szCs w:val="24"/>
        </w:rPr>
        <w:t>Cit</w:t>
      </w:r>
      <w:r>
        <w:rPr>
          <w:sz w:val="24"/>
          <w:szCs w:val="24"/>
        </w:rPr>
        <w:t>i</w:t>
      </w:r>
      <w:r w:rsidRPr="009B058D">
        <w:rPr>
          <w:sz w:val="24"/>
          <w:szCs w:val="24"/>
        </w:rPr>
        <w:t xml:space="preserve"> Corp Centre: Engineering Innovation and Crisis</w:t>
      </w:r>
    </w:p>
    <w:p w14:paraId="70A3DA35" w14:textId="77777777" w:rsidR="00586368" w:rsidRPr="00586368" w:rsidRDefault="00586368" w:rsidP="00586368">
      <w:pPr>
        <w:jc w:val="both"/>
        <w:rPr>
          <w:b/>
          <w:bCs/>
          <w:sz w:val="24"/>
          <w:szCs w:val="24"/>
        </w:rPr>
      </w:pPr>
    </w:p>
    <w:p w14:paraId="58F71332" w14:textId="77777777" w:rsidR="00586368" w:rsidRPr="00586368" w:rsidRDefault="00586368" w:rsidP="00586368">
      <w:pPr>
        <w:jc w:val="both"/>
        <w:rPr>
          <w:b/>
          <w:bCs/>
          <w:sz w:val="24"/>
          <w:szCs w:val="24"/>
        </w:rPr>
      </w:pPr>
      <w:r w:rsidRPr="00586368">
        <w:rPr>
          <w:b/>
          <w:bCs/>
          <w:sz w:val="24"/>
          <w:szCs w:val="24"/>
        </w:rPr>
        <w:t xml:space="preserve">Group Details: </w:t>
      </w:r>
    </w:p>
    <w:tbl>
      <w:tblPr>
        <w:tblStyle w:val="TableGrid"/>
        <w:tblW w:w="0" w:type="auto"/>
        <w:tblLook w:val="04A0" w:firstRow="1" w:lastRow="0" w:firstColumn="1" w:lastColumn="0" w:noHBand="0" w:noVBand="1"/>
      </w:tblPr>
      <w:tblGrid>
        <w:gridCol w:w="988"/>
        <w:gridCol w:w="5022"/>
        <w:gridCol w:w="3006"/>
      </w:tblGrid>
      <w:tr w:rsidR="00586368" w:rsidRPr="00586368" w14:paraId="3ABE658D" w14:textId="77777777">
        <w:tc>
          <w:tcPr>
            <w:tcW w:w="988" w:type="dxa"/>
            <w:tcBorders>
              <w:top w:val="single" w:sz="4" w:space="0" w:color="auto"/>
              <w:left w:val="single" w:sz="4" w:space="0" w:color="auto"/>
              <w:bottom w:val="single" w:sz="4" w:space="0" w:color="auto"/>
              <w:right w:val="single" w:sz="4" w:space="0" w:color="auto"/>
            </w:tcBorders>
            <w:hideMark/>
          </w:tcPr>
          <w:p w14:paraId="19A84D64" w14:textId="77777777" w:rsidR="00586368" w:rsidRPr="00586368" w:rsidRDefault="00586368" w:rsidP="00586368">
            <w:pPr>
              <w:spacing w:after="160" w:line="259" w:lineRule="auto"/>
              <w:jc w:val="both"/>
              <w:rPr>
                <w:b/>
                <w:bCs/>
                <w:sz w:val="24"/>
                <w:szCs w:val="24"/>
              </w:rPr>
            </w:pPr>
            <w:r w:rsidRPr="00586368">
              <w:rPr>
                <w:b/>
                <w:bCs/>
                <w:sz w:val="24"/>
                <w:szCs w:val="24"/>
              </w:rPr>
              <w:t>S.No.</w:t>
            </w:r>
          </w:p>
        </w:tc>
        <w:tc>
          <w:tcPr>
            <w:tcW w:w="5022" w:type="dxa"/>
            <w:tcBorders>
              <w:top w:val="single" w:sz="4" w:space="0" w:color="auto"/>
              <w:left w:val="single" w:sz="4" w:space="0" w:color="auto"/>
              <w:bottom w:val="single" w:sz="4" w:space="0" w:color="auto"/>
              <w:right w:val="single" w:sz="4" w:space="0" w:color="auto"/>
            </w:tcBorders>
            <w:hideMark/>
          </w:tcPr>
          <w:p w14:paraId="68ADC234" w14:textId="77777777" w:rsidR="00586368" w:rsidRPr="00586368" w:rsidRDefault="00586368" w:rsidP="00586368">
            <w:pPr>
              <w:spacing w:after="160" w:line="259" w:lineRule="auto"/>
              <w:jc w:val="both"/>
              <w:rPr>
                <w:b/>
                <w:bCs/>
                <w:sz w:val="24"/>
                <w:szCs w:val="24"/>
              </w:rPr>
            </w:pPr>
            <w:r w:rsidRPr="00586368">
              <w:rPr>
                <w:b/>
                <w:bCs/>
                <w:sz w:val="24"/>
                <w:szCs w:val="24"/>
              </w:rPr>
              <w:t>Name</w:t>
            </w:r>
          </w:p>
        </w:tc>
        <w:tc>
          <w:tcPr>
            <w:tcW w:w="3006" w:type="dxa"/>
            <w:tcBorders>
              <w:top w:val="single" w:sz="4" w:space="0" w:color="auto"/>
              <w:left w:val="single" w:sz="4" w:space="0" w:color="auto"/>
              <w:bottom w:val="single" w:sz="4" w:space="0" w:color="auto"/>
              <w:right w:val="single" w:sz="4" w:space="0" w:color="auto"/>
            </w:tcBorders>
            <w:hideMark/>
          </w:tcPr>
          <w:p w14:paraId="6D002CAA" w14:textId="77777777" w:rsidR="00586368" w:rsidRPr="00586368" w:rsidRDefault="00586368" w:rsidP="00586368">
            <w:pPr>
              <w:spacing w:after="160" w:line="259" w:lineRule="auto"/>
              <w:jc w:val="both"/>
              <w:rPr>
                <w:b/>
                <w:bCs/>
                <w:sz w:val="24"/>
                <w:szCs w:val="24"/>
              </w:rPr>
            </w:pPr>
            <w:r w:rsidRPr="00586368">
              <w:rPr>
                <w:b/>
                <w:bCs/>
                <w:sz w:val="24"/>
                <w:szCs w:val="24"/>
              </w:rPr>
              <w:t>Register Number</w:t>
            </w:r>
          </w:p>
        </w:tc>
      </w:tr>
      <w:tr w:rsidR="00586368" w:rsidRPr="00586368" w14:paraId="557058B9" w14:textId="77777777">
        <w:tc>
          <w:tcPr>
            <w:tcW w:w="988" w:type="dxa"/>
            <w:tcBorders>
              <w:top w:val="single" w:sz="4" w:space="0" w:color="auto"/>
              <w:left w:val="single" w:sz="4" w:space="0" w:color="auto"/>
              <w:bottom w:val="single" w:sz="4" w:space="0" w:color="auto"/>
              <w:right w:val="single" w:sz="4" w:space="0" w:color="auto"/>
            </w:tcBorders>
            <w:hideMark/>
          </w:tcPr>
          <w:p w14:paraId="354AAC5D" w14:textId="77777777" w:rsidR="00586368" w:rsidRPr="00586368" w:rsidRDefault="00586368" w:rsidP="00586368">
            <w:pPr>
              <w:spacing w:after="160" w:line="259" w:lineRule="auto"/>
              <w:jc w:val="both"/>
              <w:rPr>
                <w:b/>
                <w:bCs/>
                <w:sz w:val="24"/>
                <w:szCs w:val="24"/>
              </w:rPr>
            </w:pPr>
            <w:r w:rsidRPr="00586368">
              <w:rPr>
                <w:b/>
                <w:bCs/>
                <w:sz w:val="24"/>
                <w:szCs w:val="24"/>
              </w:rPr>
              <w:t>1.</w:t>
            </w:r>
          </w:p>
        </w:tc>
        <w:tc>
          <w:tcPr>
            <w:tcW w:w="5022" w:type="dxa"/>
            <w:tcBorders>
              <w:top w:val="single" w:sz="4" w:space="0" w:color="auto"/>
              <w:left w:val="single" w:sz="4" w:space="0" w:color="auto"/>
              <w:bottom w:val="single" w:sz="4" w:space="0" w:color="auto"/>
              <w:right w:val="single" w:sz="4" w:space="0" w:color="auto"/>
            </w:tcBorders>
            <w:hideMark/>
          </w:tcPr>
          <w:p w14:paraId="0CC332F8" w14:textId="7DB2BEBA" w:rsidR="00586368" w:rsidRPr="00586368" w:rsidRDefault="00614AD9" w:rsidP="00586368">
            <w:pPr>
              <w:spacing w:after="160" w:line="259" w:lineRule="auto"/>
              <w:jc w:val="both"/>
              <w:rPr>
                <w:b/>
                <w:bCs/>
                <w:sz w:val="24"/>
                <w:szCs w:val="24"/>
              </w:rPr>
            </w:pPr>
            <w:r w:rsidRPr="00614AD9">
              <w:rPr>
                <w:b/>
                <w:bCs/>
                <w:sz w:val="24"/>
                <w:szCs w:val="24"/>
              </w:rPr>
              <w:t>MANOJ BS</w:t>
            </w:r>
          </w:p>
        </w:tc>
        <w:tc>
          <w:tcPr>
            <w:tcW w:w="3006" w:type="dxa"/>
            <w:tcBorders>
              <w:top w:val="single" w:sz="4" w:space="0" w:color="auto"/>
              <w:left w:val="single" w:sz="4" w:space="0" w:color="auto"/>
              <w:bottom w:val="single" w:sz="4" w:space="0" w:color="auto"/>
              <w:right w:val="single" w:sz="4" w:space="0" w:color="auto"/>
            </w:tcBorders>
            <w:hideMark/>
          </w:tcPr>
          <w:p w14:paraId="37871D00" w14:textId="37B8FFAE" w:rsidR="00586368" w:rsidRPr="00586368" w:rsidRDefault="00586368" w:rsidP="00586368">
            <w:pPr>
              <w:spacing w:after="160" w:line="259" w:lineRule="auto"/>
              <w:jc w:val="both"/>
              <w:rPr>
                <w:b/>
                <w:bCs/>
                <w:sz w:val="24"/>
                <w:szCs w:val="24"/>
              </w:rPr>
            </w:pPr>
            <w:r w:rsidRPr="00586368">
              <w:rPr>
                <w:b/>
                <w:bCs/>
                <w:sz w:val="24"/>
                <w:szCs w:val="24"/>
              </w:rPr>
              <w:t>RA24110030103</w:t>
            </w:r>
            <w:r w:rsidR="00614AD9">
              <w:rPr>
                <w:b/>
                <w:bCs/>
                <w:sz w:val="24"/>
                <w:szCs w:val="24"/>
              </w:rPr>
              <w:t>82</w:t>
            </w:r>
          </w:p>
        </w:tc>
      </w:tr>
      <w:tr w:rsidR="00586368" w:rsidRPr="00586368" w14:paraId="0867EE6A" w14:textId="77777777">
        <w:tc>
          <w:tcPr>
            <w:tcW w:w="988" w:type="dxa"/>
            <w:tcBorders>
              <w:top w:val="single" w:sz="4" w:space="0" w:color="auto"/>
              <w:left w:val="single" w:sz="4" w:space="0" w:color="auto"/>
              <w:bottom w:val="single" w:sz="4" w:space="0" w:color="auto"/>
              <w:right w:val="single" w:sz="4" w:space="0" w:color="auto"/>
            </w:tcBorders>
            <w:hideMark/>
          </w:tcPr>
          <w:p w14:paraId="5208953C" w14:textId="77777777" w:rsidR="00586368" w:rsidRPr="00586368" w:rsidRDefault="00586368" w:rsidP="00586368">
            <w:pPr>
              <w:spacing w:after="160" w:line="259" w:lineRule="auto"/>
              <w:jc w:val="both"/>
              <w:rPr>
                <w:b/>
                <w:bCs/>
                <w:sz w:val="24"/>
                <w:szCs w:val="24"/>
              </w:rPr>
            </w:pPr>
            <w:r w:rsidRPr="00586368">
              <w:rPr>
                <w:b/>
                <w:bCs/>
                <w:sz w:val="24"/>
                <w:szCs w:val="24"/>
              </w:rPr>
              <w:t>2.</w:t>
            </w:r>
          </w:p>
        </w:tc>
        <w:tc>
          <w:tcPr>
            <w:tcW w:w="5022" w:type="dxa"/>
            <w:tcBorders>
              <w:top w:val="single" w:sz="4" w:space="0" w:color="auto"/>
              <w:left w:val="single" w:sz="4" w:space="0" w:color="auto"/>
              <w:bottom w:val="single" w:sz="4" w:space="0" w:color="auto"/>
              <w:right w:val="single" w:sz="4" w:space="0" w:color="auto"/>
            </w:tcBorders>
            <w:hideMark/>
          </w:tcPr>
          <w:p w14:paraId="2E520B72" w14:textId="6CEF71BF" w:rsidR="00586368" w:rsidRPr="00586368" w:rsidRDefault="00614AD9" w:rsidP="00586368">
            <w:pPr>
              <w:spacing w:after="160" w:line="259" w:lineRule="auto"/>
              <w:jc w:val="both"/>
              <w:rPr>
                <w:b/>
                <w:bCs/>
                <w:sz w:val="24"/>
                <w:szCs w:val="24"/>
              </w:rPr>
            </w:pPr>
            <w:r w:rsidRPr="00614AD9">
              <w:rPr>
                <w:b/>
                <w:bCs/>
                <w:sz w:val="24"/>
                <w:szCs w:val="24"/>
              </w:rPr>
              <w:t>AKSHAT KUMAR</w:t>
            </w:r>
          </w:p>
        </w:tc>
        <w:tc>
          <w:tcPr>
            <w:tcW w:w="3006" w:type="dxa"/>
            <w:tcBorders>
              <w:top w:val="single" w:sz="4" w:space="0" w:color="auto"/>
              <w:left w:val="single" w:sz="4" w:space="0" w:color="auto"/>
              <w:bottom w:val="single" w:sz="4" w:space="0" w:color="auto"/>
              <w:right w:val="single" w:sz="4" w:space="0" w:color="auto"/>
            </w:tcBorders>
            <w:hideMark/>
          </w:tcPr>
          <w:p w14:paraId="1C8DD66E" w14:textId="19408FD6" w:rsidR="00586368" w:rsidRPr="00586368" w:rsidRDefault="00586368" w:rsidP="00586368">
            <w:pPr>
              <w:spacing w:after="160" w:line="259" w:lineRule="auto"/>
              <w:jc w:val="both"/>
              <w:rPr>
                <w:b/>
                <w:bCs/>
                <w:sz w:val="24"/>
                <w:szCs w:val="24"/>
              </w:rPr>
            </w:pPr>
            <w:r w:rsidRPr="00586368">
              <w:rPr>
                <w:b/>
                <w:bCs/>
                <w:sz w:val="24"/>
                <w:szCs w:val="24"/>
              </w:rPr>
              <w:t>RA24110030103</w:t>
            </w:r>
            <w:r>
              <w:rPr>
                <w:b/>
                <w:bCs/>
                <w:sz w:val="24"/>
                <w:szCs w:val="24"/>
              </w:rPr>
              <w:t>8</w:t>
            </w:r>
            <w:r w:rsidR="00614AD9">
              <w:rPr>
                <w:b/>
                <w:bCs/>
                <w:sz w:val="24"/>
                <w:szCs w:val="24"/>
              </w:rPr>
              <w:t>3</w:t>
            </w:r>
          </w:p>
        </w:tc>
      </w:tr>
      <w:tr w:rsidR="00586368" w:rsidRPr="00586368" w14:paraId="09E026F0" w14:textId="77777777">
        <w:tc>
          <w:tcPr>
            <w:tcW w:w="988" w:type="dxa"/>
            <w:tcBorders>
              <w:top w:val="single" w:sz="4" w:space="0" w:color="auto"/>
              <w:left w:val="single" w:sz="4" w:space="0" w:color="auto"/>
              <w:bottom w:val="single" w:sz="4" w:space="0" w:color="auto"/>
              <w:right w:val="single" w:sz="4" w:space="0" w:color="auto"/>
            </w:tcBorders>
            <w:hideMark/>
          </w:tcPr>
          <w:p w14:paraId="5A7CDA22" w14:textId="77777777" w:rsidR="00586368" w:rsidRDefault="00586368" w:rsidP="00586368">
            <w:pPr>
              <w:spacing w:after="160" w:line="259" w:lineRule="auto"/>
              <w:jc w:val="both"/>
              <w:rPr>
                <w:b/>
                <w:bCs/>
                <w:sz w:val="24"/>
                <w:szCs w:val="24"/>
              </w:rPr>
            </w:pPr>
            <w:r w:rsidRPr="00586368">
              <w:rPr>
                <w:b/>
                <w:bCs/>
                <w:sz w:val="24"/>
                <w:szCs w:val="24"/>
              </w:rPr>
              <w:t>3.</w:t>
            </w:r>
          </w:p>
          <w:p w14:paraId="7B0CEC0A" w14:textId="77777777" w:rsidR="009B058D" w:rsidRDefault="009B058D" w:rsidP="00586368">
            <w:pPr>
              <w:spacing w:after="160" w:line="259" w:lineRule="auto"/>
              <w:jc w:val="both"/>
              <w:rPr>
                <w:b/>
                <w:bCs/>
                <w:sz w:val="24"/>
                <w:szCs w:val="24"/>
              </w:rPr>
            </w:pPr>
            <w:r>
              <w:rPr>
                <w:b/>
                <w:bCs/>
                <w:sz w:val="24"/>
                <w:szCs w:val="24"/>
              </w:rPr>
              <w:t>4.</w:t>
            </w:r>
          </w:p>
          <w:p w14:paraId="24942405" w14:textId="77777777" w:rsidR="009B058D" w:rsidRDefault="009B058D" w:rsidP="00586368">
            <w:pPr>
              <w:spacing w:after="160" w:line="259" w:lineRule="auto"/>
              <w:jc w:val="both"/>
              <w:rPr>
                <w:b/>
                <w:bCs/>
                <w:sz w:val="24"/>
                <w:szCs w:val="24"/>
              </w:rPr>
            </w:pPr>
            <w:r>
              <w:rPr>
                <w:b/>
                <w:bCs/>
                <w:sz w:val="24"/>
                <w:szCs w:val="24"/>
              </w:rPr>
              <w:t>5.</w:t>
            </w:r>
          </w:p>
          <w:p w14:paraId="163211AE" w14:textId="71FDAF9B" w:rsidR="009B058D" w:rsidRPr="00586368" w:rsidRDefault="009B058D" w:rsidP="00586368">
            <w:pPr>
              <w:spacing w:after="160" w:line="259" w:lineRule="auto"/>
              <w:jc w:val="both"/>
              <w:rPr>
                <w:b/>
                <w:bCs/>
                <w:sz w:val="24"/>
                <w:szCs w:val="24"/>
              </w:rPr>
            </w:pPr>
            <w:r>
              <w:rPr>
                <w:b/>
                <w:bCs/>
                <w:sz w:val="24"/>
                <w:szCs w:val="24"/>
              </w:rPr>
              <w:t>6.</w:t>
            </w:r>
          </w:p>
        </w:tc>
        <w:tc>
          <w:tcPr>
            <w:tcW w:w="5022" w:type="dxa"/>
            <w:tcBorders>
              <w:top w:val="single" w:sz="4" w:space="0" w:color="auto"/>
              <w:left w:val="single" w:sz="4" w:space="0" w:color="auto"/>
              <w:bottom w:val="single" w:sz="4" w:space="0" w:color="auto"/>
              <w:right w:val="single" w:sz="4" w:space="0" w:color="auto"/>
            </w:tcBorders>
            <w:hideMark/>
          </w:tcPr>
          <w:p w14:paraId="00337715" w14:textId="77777777" w:rsidR="00586368" w:rsidRDefault="00614AD9" w:rsidP="00586368">
            <w:pPr>
              <w:spacing w:after="160" w:line="259" w:lineRule="auto"/>
              <w:jc w:val="both"/>
              <w:rPr>
                <w:b/>
                <w:bCs/>
                <w:sz w:val="24"/>
                <w:szCs w:val="24"/>
              </w:rPr>
            </w:pPr>
            <w:r w:rsidRPr="00614AD9">
              <w:rPr>
                <w:b/>
                <w:bCs/>
                <w:sz w:val="24"/>
                <w:szCs w:val="24"/>
              </w:rPr>
              <w:t>AKSHITA GUHA THAKURTA</w:t>
            </w:r>
          </w:p>
          <w:p w14:paraId="2C998596" w14:textId="5E3BB71A" w:rsidR="00614AD9" w:rsidRPr="00614AD9" w:rsidRDefault="00614AD9" w:rsidP="00614AD9">
            <w:pPr>
              <w:spacing w:after="160" w:line="259" w:lineRule="auto"/>
              <w:jc w:val="both"/>
              <w:rPr>
                <w:b/>
                <w:bCs/>
                <w:sz w:val="24"/>
                <w:szCs w:val="24"/>
                <w:lang w:val="en-US"/>
              </w:rPr>
            </w:pPr>
            <w:r w:rsidRPr="00614AD9">
              <w:rPr>
                <w:b/>
                <w:bCs/>
                <w:sz w:val="24"/>
                <w:szCs w:val="24"/>
                <w:lang w:val="en-US"/>
              </w:rPr>
              <w:t xml:space="preserve">MANVI AGARWAL </w:t>
            </w:r>
          </w:p>
          <w:p w14:paraId="18A6A5C9" w14:textId="698498C5" w:rsidR="00614AD9" w:rsidRPr="00614AD9" w:rsidRDefault="00614AD9" w:rsidP="00614AD9">
            <w:pPr>
              <w:spacing w:after="160" w:line="259" w:lineRule="auto"/>
              <w:jc w:val="both"/>
              <w:rPr>
                <w:b/>
                <w:bCs/>
                <w:sz w:val="24"/>
                <w:szCs w:val="24"/>
                <w:lang w:val="en-US"/>
              </w:rPr>
            </w:pPr>
            <w:r w:rsidRPr="00614AD9">
              <w:rPr>
                <w:b/>
                <w:bCs/>
                <w:sz w:val="24"/>
                <w:szCs w:val="24"/>
                <w:lang w:val="en-US"/>
              </w:rPr>
              <w:t xml:space="preserve">TEJESHWAR SENTHILKUMAR </w:t>
            </w:r>
          </w:p>
          <w:p w14:paraId="4C32BEC6" w14:textId="6DB9AB3A" w:rsidR="00614AD9" w:rsidRPr="00614AD9" w:rsidRDefault="00614AD9" w:rsidP="00614AD9">
            <w:pPr>
              <w:spacing w:after="160" w:line="259" w:lineRule="auto"/>
              <w:jc w:val="both"/>
              <w:rPr>
                <w:b/>
                <w:bCs/>
                <w:sz w:val="24"/>
                <w:szCs w:val="24"/>
                <w:lang w:val="en-US"/>
              </w:rPr>
            </w:pPr>
            <w:r w:rsidRPr="00614AD9">
              <w:rPr>
                <w:b/>
                <w:bCs/>
                <w:sz w:val="24"/>
                <w:szCs w:val="24"/>
                <w:lang w:val="en-US"/>
              </w:rPr>
              <w:t xml:space="preserve">ESSAKIMADAN </w:t>
            </w:r>
            <w:r>
              <w:rPr>
                <w:b/>
                <w:bCs/>
                <w:sz w:val="24"/>
                <w:szCs w:val="24"/>
                <w:lang w:val="en-US"/>
              </w:rPr>
              <w:t>M</w:t>
            </w:r>
          </w:p>
          <w:p w14:paraId="19DD0A65" w14:textId="7C54CCF5" w:rsidR="00614AD9" w:rsidRPr="00586368" w:rsidRDefault="00614AD9" w:rsidP="00586368">
            <w:pPr>
              <w:spacing w:after="160" w:line="259" w:lineRule="auto"/>
              <w:jc w:val="both"/>
              <w:rPr>
                <w:b/>
                <w:bCs/>
                <w:sz w:val="24"/>
                <w:szCs w:val="24"/>
              </w:rPr>
            </w:pPr>
          </w:p>
        </w:tc>
        <w:tc>
          <w:tcPr>
            <w:tcW w:w="3006" w:type="dxa"/>
            <w:tcBorders>
              <w:top w:val="single" w:sz="4" w:space="0" w:color="auto"/>
              <w:left w:val="single" w:sz="4" w:space="0" w:color="auto"/>
              <w:bottom w:val="single" w:sz="4" w:space="0" w:color="auto"/>
              <w:right w:val="single" w:sz="4" w:space="0" w:color="auto"/>
            </w:tcBorders>
            <w:hideMark/>
          </w:tcPr>
          <w:p w14:paraId="28F6FD2B" w14:textId="0E834BF7" w:rsidR="00586368" w:rsidRDefault="00586368" w:rsidP="00586368">
            <w:pPr>
              <w:spacing w:after="160" w:line="259" w:lineRule="auto"/>
              <w:jc w:val="both"/>
              <w:rPr>
                <w:b/>
                <w:bCs/>
                <w:sz w:val="24"/>
                <w:szCs w:val="24"/>
              </w:rPr>
            </w:pPr>
            <w:r w:rsidRPr="00586368">
              <w:rPr>
                <w:b/>
                <w:bCs/>
                <w:sz w:val="24"/>
                <w:szCs w:val="24"/>
              </w:rPr>
              <w:t>RA24110030103</w:t>
            </w:r>
            <w:r>
              <w:rPr>
                <w:b/>
                <w:bCs/>
                <w:sz w:val="24"/>
                <w:szCs w:val="24"/>
              </w:rPr>
              <w:t>8</w:t>
            </w:r>
            <w:r w:rsidR="00614AD9">
              <w:rPr>
                <w:b/>
                <w:bCs/>
                <w:sz w:val="24"/>
                <w:szCs w:val="24"/>
              </w:rPr>
              <w:t>4</w:t>
            </w:r>
          </w:p>
          <w:p w14:paraId="2830F2E3" w14:textId="77777777" w:rsidR="00614AD9" w:rsidRDefault="00614AD9" w:rsidP="00586368">
            <w:pPr>
              <w:spacing w:after="160" w:line="259" w:lineRule="auto"/>
              <w:jc w:val="both"/>
              <w:rPr>
                <w:b/>
                <w:bCs/>
                <w:sz w:val="24"/>
                <w:szCs w:val="24"/>
              </w:rPr>
            </w:pPr>
            <w:r w:rsidRPr="00586368">
              <w:rPr>
                <w:b/>
                <w:bCs/>
                <w:sz w:val="24"/>
                <w:szCs w:val="24"/>
              </w:rPr>
              <w:t>RA24110030103</w:t>
            </w:r>
            <w:r>
              <w:rPr>
                <w:b/>
                <w:bCs/>
                <w:sz w:val="24"/>
                <w:szCs w:val="24"/>
              </w:rPr>
              <w:t>85</w:t>
            </w:r>
          </w:p>
          <w:p w14:paraId="556BB50D" w14:textId="6142D27E" w:rsidR="00614AD9" w:rsidRDefault="00614AD9" w:rsidP="00586368">
            <w:pPr>
              <w:spacing w:after="160" w:line="259" w:lineRule="auto"/>
              <w:jc w:val="both"/>
              <w:rPr>
                <w:b/>
                <w:bCs/>
                <w:sz w:val="24"/>
                <w:szCs w:val="24"/>
              </w:rPr>
            </w:pPr>
            <w:r w:rsidRPr="00586368">
              <w:rPr>
                <w:b/>
                <w:bCs/>
                <w:sz w:val="24"/>
                <w:szCs w:val="24"/>
              </w:rPr>
              <w:t>RA24110030103</w:t>
            </w:r>
            <w:r>
              <w:rPr>
                <w:b/>
                <w:bCs/>
                <w:sz w:val="24"/>
                <w:szCs w:val="24"/>
              </w:rPr>
              <w:t>8</w:t>
            </w:r>
            <w:r>
              <w:rPr>
                <w:b/>
                <w:bCs/>
                <w:sz w:val="24"/>
                <w:szCs w:val="24"/>
              </w:rPr>
              <w:t>6</w:t>
            </w:r>
          </w:p>
          <w:p w14:paraId="4FE4716C" w14:textId="21104E7F" w:rsidR="00614AD9" w:rsidRPr="00586368" w:rsidRDefault="00614AD9" w:rsidP="00586368">
            <w:pPr>
              <w:spacing w:after="160" w:line="259" w:lineRule="auto"/>
              <w:jc w:val="both"/>
              <w:rPr>
                <w:b/>
                <w:bCs/>
                <w:sz w:val="24"/>
                <w:szCs w:val="24"/>
              </w:rPr>
            </w:pPr>
            <w:r w:rsidRPr="00586368">
              <w:rPr>
                <w:b/>
                <w:bCs/>
                <w:sz w:val="24"/>
                <w:szCs w:val="24"/>
              </w:rPr>
              <w:t>RA24110030103</w:t>
            </w:r>
            <w:r>
              <w:rPr>
                <w:b/>
                <w:bCs/>
                <w:sz w:val="24"/>
                <w:szCs w:val="24"/>
              </w:rPr>
              <w:t>8</w:t>
            </w:r>
            <w:r>
              <w:rPr>
                <w:b/>
                <w:bCs/>
                <w:sz w:val="24"/>
                <w:szCs w:val="24"/>
              </w:rPr>
              <w:t>7</w:t>
            </w:r>
          </w:p>
        </w:tc>
      </w:tr>
    </w:tbl>
    <w:p w14:paraId="41B30DDC" w14:textId="77777777" w:rsidR="00586368" w:rsidRDefault="00586368" w:rsidP="00806A84">
      <w:pPr>
        <w:jc w:val="both"/>
        <w:rPr>
          <w:b/>
          <w:bCs/>
          <w:sz w:val="24"/>
          <w:szCs w:val="24"/>
        </w:rPr>
      </w:pPr>
    </w:p>
    <w:p w14:paraId="4B8813F5" w14:textId="77777777" w:rsidR="00586368" w:rsidRDefault="00586368" w:rsidP="00806A84">
      <w:pPr>
        <w:jc w:val="both"/>
        <w:rPr>
          <w:b/>
          <w:bCs/>
          <w:sz w:val="24"/>
          <w:szCs w:val="24"/>
        </w:rPr>
      </w:pPr>
    </w:p>
    <w:p w14:paraId="4A57F507" w14:textId="77777777" w:rsidR="00586368" w:rsidRDefault="00586368" w:rsidP="00806A84">
      <w:pPr>
        <w:jc w:val="both"/>
        <w:rPr>
          <w:b/>
          <w:bCs/>
          <w:sz w:val="24"/>
          <w:szCs w:val="24"/>
        </w:rPr>
      </w:pPr>
    </w:p>
    <w:p w14:paraId="198DB2D9" w14:textId="77777777" w:rsidR="009B058D" w:rsidRPr="009B058D" w:rsidRDefault="009B058D" w:rsidP="009B058D">
      <w:pPr>
        <w:jc w:val="both"/>
        <w:rPr>
          <w:sz w:val="24"/>
          <w:szCs w:val="24"/>
          <w:lang w:val="en-US"/>
        </w:rPr>
      </w:pPr>
      <w:r w:rsidRPr="009B058D">
        <w:rPr>
          <w:sz w:val="24"/>
          <w:szCs w:val="24"/>
          <w:lang w:val="en-US"/>
        </w:rPr>
        <w:pict w14:anchorId="1881F562">
          <v:rect id="_x0000_i1587" style="width:0;height:0" o:hralign="center" o:hrstd="t" o:hr="t" fillcolor="#a0a0a0" stroked="f"/>
        </w:pict>
      </w:r>
    </w:p>
    <w:p w14:paraId="6C12F1BE" w14:textId="77777777" w:rsidR="009B058D" w:rsidRPr="009B058D" w:rsidRDefault="009B058D" w:rsidP="009B058D">
      <w:pPr>
        <w:jc w:val="both"/>
        <w:rPr>
          <w:b/>
          <w:bCs/>
          <w:sz w:val="24"/>
          <w:szCs w:val="24"/>
          <w:lang w:val="en-US"/>
        </w:rPr>
      </w:pPr>
      <w:r w:rsidRPr="009B058D">
        <w:rPr>
          <w:b/>
          <w:bCs/>
          <w:sz w:val="24"/>
          <w:szCs w:val="24"/>
          <w:lang w:val="en-US"/>
        </w:rPr>
        <w:t>Table of Contents</w:t>
      </w:r>
    </w:p>
    <w:p w14:paraId="2DD0E7BB" w14:textId="77777777" w:rsidR="009B058D" w:rsidRPr="009B058D" w:rsidRDefault="009B058D" w:rsidP="009B058D">
      <w:pPr>
        <w:numPr>
          <w:ilvl w:val="0"/>
          <w:numId w:val="5"/>
        </w:numPr>
        <w:jc w:val="both"/>
        <w:rPr>
          <w:sz w:val="24"/>
          <w:szCs w:val="24"/>
          <w:lang w:val="en-US"/>
        </w:rPr>
      </w:pPr>
      <w:r w:rsidRPr="009B058D">
        <w:rPr>
          <w:sz w:val="24"/>
          <w:szCs w:val="24"/>
          <w:lang w:val="en-US"/>
        </w:rPr>
        <w:t>Introduction</w:t>
      </w:r>
    </w:p>
    <w:p w14:paraId="4256C561" w14:textId="77777777" w:rsidR="009B058D" w:rsidRPr="009B058D" w:rsidRDefault="009B058D" w:rsidP="009B058D">
      <w:pPr>
        <w:numPr>
          <w:ilvl w:val="0"/>
          <w:numId w:val="5"/>
        </w:numPr>
        <w:jc w:val="both"/>
        <w:rPr>
          <w:sz w:val="24"/>
          <w:szCs w:val="24"/>
          <w:lang w:val="en-US"/>
        </w:rPr>
      </w:pPr>
      <w:r w:rsidRPr="009B058D">
        <w:rPr>
          <w:sz w:val="24"/>
          <w:szCs w:val="24"/>
          <w:lang w:val="en-US"/>
        </w:rPr>
        <w:t>Building Background</w:t>
      </w:r>
    </w:p>
    <w:p w14:paraId="15DEE8EA" w14:textId="77777777" w:rsidR="009B058D" w:rsidRPr="009B058D" w:rsidRDefault="009B058D" w:rsidP="009B058D">
      <w:pPr>
        <w:numPr>
          <w:ilvl w:val="0"/>
          <w:numId w:val="5"/>
        </w:numPr>
        <w:jc w:val="both"/>
        <w:rPr>
          <w:sz w:val="24"/>
          <w:szCs w:val="24"/>
          <w:lang w:val="en-US"/>
        </w:rPr>
      </w:pPr>
      <w:r w:rsidRPr="009B058D">
        <w:rPr>
          <w:sz w:val="24"/>
          <w:szCs w:val="24"/>
          <w:lang w:val="en-US"/>
        </w:rPr>
        <w:t>Design Innovations and Unusual Features</w:t>
      </w:r>
    </w:p>
    <w:p w14:paraId="239A2836" w14:textId="77777777" w:rsidR="009B058D" w:rsidRPr="009B058D" w:rsidRDefault="009B058D" w:rsidP="009B058D">
      <w:pPr>
        <w:numPr>
          <w:ilvl w:val="0"/>
          <w:numId w:val="5"/>
        </w:numPr>
        <w:jc w:val="both"/>
        <w:rPr>
          <w:sz w:val="24"/>
          <w:szCs w:val="24"/>
          <w:lang w:val="en-US"/>
        </w:rPr>
      </w:pPr>
      <w:r w:rsidRPr="009B058D">
        <w:rPr>
          <w:sz w:val="24"/>
          <w:szCs w:val="24"/>
          <w:lang w:val="en-US"/>
        </w:rPr>
        <w:t>Discovery of the Flaw</w:t>
      </w:r>
    </w:p>
    <w:p w14:paraId="6C0552DE" w14:textId="77777777" w:rsidR="009B058D" w:rsidRPr="009B058D" w:rsidRDefault="009B058D" w:rsidP="009B058D">
      <w:pPr>
        <w:numPr>
          <w:ilvl w:val="0"/>
          <w:numId w:val="5"/>
        </w:numPr>
        <w:jc w:val="both"/>
        <w:rPr>
          <w:sz w:val="24"/>
          <w:szCs w:val="24"/>
          <w:lang w:val="en-US"/>
        </w:rPr>
      </w:pPr>
      <w:r w:rsidRPr="009B058D">
        <w:rPr>
          <w:sz w:val="24"/>
          <w:szCs w:val="24"/>
          <w:lang w:val="en-US"/>
        </w:rPr>
        <w:t>Analysis of the Problem</w:t>
      </w:r>
    </w:p>
    <w:p w14:paraId="2348F1C8" w14:textId="77777777" w:rsidR="009B058D" w:rsidRPr="009B058D" w:rsidRDefault="009B058D" w:rsidP="009B058D">
      <w:pPr>
        <w:numPr>
          <w:ilvl w:val="0"/>
          <w:numId w:val="5"/>
        </w:numPr>
        <w:jc w:val="both"/>
        <w:rPr>
          <w:sz w:val="24"/>
          <w:szCs w:val="24"/>
          <w:lang w:val="en-US"/>
        </w:rPr>
      </w:pPr>
      <w:r w:rsidRPr="009B058D">
        <w:rPr>
          <w:sz w:val="24"/>
          <w:szCs w:val="24"/>
          <w:lang w:val="en-US"/>
        </w:rPr>
        <w:t>Emergency Response and Repairs</w:t>
      </w:r>
    </w:p>
    <w:p w14:paraId="4070451F" w14:textId="77777777" w:rsidR="009B058D" w:rsidRPr="009B058D" w:rsidRDefault="009B058D" w:rsidP="009B058D">
      <w:pPr>
        <w:numPr>
          <w:ilvl w:val="0"/>
          <w:numId w:val="5"/>
        </w:numPr>
        <w:jc w:val="both"/>
        <w:rPr>
          <w:sz w:val="24"/>
          <w:szCs w:val="24"/>
          <w:lang w:val="en-US"/>
        </w:rPr>
      </w:pPr>
      <w:r w:rsidRPr="009B058D">
        <w:rPr>
          <w:sz w:val="24"/>
          <w:szCs w:val="24"/>
          <w:lang w:val="en-US"/>
        </w:rPr>
        <w:t>Ethical, Legal and Professional Implications</w:t>
      </w:r>
    </w:p>
    <w:p w14:paraId="2E188A55" w14:textId="77777777" w:rsidR="009B058D" w:rsidRPr="009B058D" w:rsidRDefault="009B058D" w:rsidP="009B058D">
      <w:pPr>
        <w:numPr>
          <w:ilvl w:val="0"/>
          <w:numId w:val="5"/>
        </w:numPr>
        <w:jc w:val="both"/>
        <w:rPr>
          <w:sz w:val="24"/>
          <w:szCs w:val="24"/>
          <w:lang w:val="en-US"/>
        </w:rPr>
      </w:pPr>
      <w:r w:rsidRPr="009B058D">
        <w:rPr>
          <w:sz w:val="24"/>
          <w:szCs w:val="24"/>
          <w:lang w:val="en-US"/>
        </w:rPr>
        <w:t>Outcomes and Legacy</w:t>
      </w:r>
    </w:p>
    <w:p w14:paraId="7E7FB112" w14:textId="77777777" w:rsidR="009B058D" w:rsidRPr="009B058D" w:rsidRDefault="009B058D" w:rsidP="009B058D">
      <w:pPr>
        <w:numPr>
          <w:ilvl w:val="0"/>
          <w:numId w:val="5"/>
        </w:numPr>
        <w:jc w:val="both"/>
        <w:rPr>
          <w:sz w:val="24"/>
          <w:szCs w:val="24"/>
          <w:lang w:val="en-US"/>
        </w:rPr>
      </w:pPr>
      <w:r w:rsidRPr="009B058D">
        <w:rPr>
          <w:sz w:val="24"/>
          <w:szCs w:val="24"/>
          <w:lang w:val="en-US"/>
        </w:rPr>
        <w:t>Lessons Learned for Engineering &amp; Risk Management</w:t>
      </w:r>
    </w:p>
    <w:p w14:paraId="03B909B6" w14:textId="77777777" w:rsidR="009B058D" w:rsidRPr="009B058D" w:rsidRDefault="009B058D" w:rsidP="009B058D">
      <w:pPr>
        <w:numPr>
          <w:ilvl w:val="0"/>
          <w:numId w:val="5"/>
        </w:numPr>
        <w:jc w:val="both"/>
        <w:rPr>
          <w:sz w:val="24"/>
          <w:szCs w:val="24"/>
          <w:lang w:val="en-US"/>
        </w:rPr>
      </w:pPr>
      <w:r w:rsidRPr="009B058D">
        <w:rPr>
          <w:sz w:val="24"/>
          <w:szCs w:val="24"/>
          <w:lang w:val="en-US"/>
        </w:rPr>
        <w:t>Conclusion</w:t>
      </w:r>
    </w:p>
    <w:p w14:paraId="6CB63C7E" w14:textId="77777777" w:rsidR="009B058D" w:rsidRPr="009B058D" w:rsidRDefault="009B058D" w:rsidP="009B058D">
      <w:pPr>
        <w:numPr>
          <w:ilvl w:val="0"/>
          <w:numId w:val="5"/>
        </w:numPr>
        <w:jc w:val="both"/>
        <w:rPr>
          <w:sz w:val="24"/>
          <w:szCs w:val="24"/>
          <w:lang w:val="en-US"/>
        </w:rPr>
      </w:pPr>
      <w:r w:rsidRPr="009B058D">
        <w:rPr>
          <w:sz w:val="24"/>
          <w:szCs w:val="24"/>
          <w:lang w:val="en-US"/>
        </w:rPr>
        <w:t>References</w:t>
      </w:r>
    </w:p>
    <w:p w14:paraId="263BA283" w14:textId="77777777" w:rsidR="009B058D" w:rsidRPr="009B058D" w:rsidRDefault="009B058D" w:rsidP="009B058D">
      <w:pPr>
        <w:jc w:val="both"/>
        <w:rPr>
          <w:sz w:val="24"/>
          <w:szCs w:val="24"/>
          <w:lang w:val="en-US"/>
        </w:rPr>
      </w:pPr>
      <w:r w:rsidRPr="009B058D">
        <w:rPr>
          <w:sz w:val="24"/>
          <w:szCs w:val="24"/>
          <w:lang w:val="en-US"/>
        </w:rPr>
        <w:pict w14:anchorId="4CAF8040">
          <v:rect id="_x0000_i1588" style="width:0;height:0" o:hralign="center" o:hrstd="t" o:hr="t" fillcolor="#a0a0a0" stroked="f"/>
        </w:pict>
      </w:r>
    </w:p>
    <w:p w14:paraId="15FA90E1" w14:textId="77777777" w:rsidR="009B058D" w:rsidRDefault="009B058D" w:rsidP="009B058D">
      <w:pPr>
        <w:jc w:val="both"/>
        <w:rPr>
          <w:b/>
          <w:bCs/>
          <w:sz w:val="24"/>
          <w:szCs w:val="24"/>
          <w:lang w:val="en-US"/>
        </w:rPr>
      </w:pPr>
    </w:p>
    <w:p w14:paraId="0BE20A09" w14:textId="77777777" w:rsidR="009B058D" w:rsidRDefault="009B058D" w:rsidP="009B058D">
      <w:pPr>
        <w:jc w:val="both"/>
        <w:rPr>
          <w:b/>
          <w:bCs/>
          <w:sz w:val="24"/>
          <w:szCs w:val="24"/>
          <w:lang w:val="en-US"/>
        </w:rPr>
      </w:pPr>
    </w:p>
    <w:p w14:paraId="337149D5" w14:textId="77777777" w:rsidR="009B058D" w:rsidRDefault="009B058D" w:rsidP="009B058D">
      <w:pPr>
        <w:jc w:val="both"/>
        <w:rPr>
          <w:b/>
          <w:bCs/>
          <w:sz w:val="24"/>
          <w:szCs w:val="24"/>
          <w:lang w:val="en-US"/>
        </w:rPr>
      </w:pPr>
    </w:p>
    <w:p w14:paraId="1BC4AB29" w14:textId="77777777" w:rsidR="009B058D" w:rsidRDefault="009B058D" w:rsidP="009B058D">
      <w:pPr>
        <w:jc w:val="both"/>
        <w:rPr>
          <w:b/>
          <w:bCs/>
          <w:sz w:val="24"/>
          <w:szCs w:val="24"/>
          <w:lang w:val="en-US"/>
        </w:rPr>
      </w:pPr>
    </w:p>
    <w:p w14:paraId="58D6556D" w14:textId="1C2A3F22" w:rsidR="009B058D" w:rsidRPr="009B058D" w:rsidRDefault="009B058D" w:rsidP="009B058D">
      <w:pPr>
        <w:jc w:val="both"/>
        <w:rPr>
          <w:b/>
          <w:bCs/>
          <w:sz w:val="24"/>
          <w:szCs w:val="24"/>
          <w:lang w:val="en-US"/>
        </w:rPr>
      </w:pPr>
      <w:r w:rsidRPr="009B058D">
        <w:rPr>
          <w:b/>
          <w:bCs/>
          <w:sz w:val="24"/>
          <w:szCs w:val="24"/>
          <w:lang w:val="en-US"/>
        </w:rPr>
        <w:t>1. Introduction</w:t>
      </w:r>
    </w:p>
    <w:p w14:paraId="31982EA2" w14:textId="77777777" w:rsidR="009B058D" w:rsidRPr="009B058D" w:rsidRDefault="009B058D" w:rsidP="009B058D">
      <w:pPr>
        <w:jc w:val="both"/>
        <w:rPr>
          <w:sz w:val="24"/>
          <w:szCs w:val="24"/>
          <w:lang w:val="en-US"/>
        </w:rPr>
      </w:pPr>
      <w:r w:rsidRPr="009B058D">
        <w:rPr>
          <w:sz w:val="24"/>
          <w:szCs w:val="24"/>
          <w:lang w:val="en-US"/>
        </w:rPr>
        <w:t>The Citicorp (now Citigroup) Center in New York City is one of the most celebrated skyscrapers of its era, both for its architectural boldness and for the extraordinary structural crisis that was averted less than a year after its completion. This report examines how a seemingly minor design concession led to a potentially catastrophic risk, how that risk was discovered, how it was managed, and what lessons the event offers for engineering, professional ethics and risk management.</w:t>
      </w:r>
    </w:p>
    <w:p w14:paraId="3641D63E" w14:textId="77777777" w:rsidR="009B058D" w:rsidRPr="009B058D" w:rsidRDefault="009B058D" w:rsidP="009B058D">
      <w:pPr>
        <w:jc w:val="both"/>
        <w:rPr>
          <w:sz w:val="24"/>
          <w:szCs w:val="24"/>
          <w:lang w:val="en-US"/>
        </w:rPr>
      </w:pPr>
      <w:r w:rsidRPr="009B058D">
        <w:rPr>
          <w:sz w:val="24"/>
          <w:szCs w:val="24"/>
          <w:lang w:val="en-US"/>
        </w:rPr>
        <w:t>The building serves as a case‐study of how structural systems, assumptions about loads (especially wind loads), changes during construction, and the chain of responsibility in large projects all interact—and how, despite no collapse occurring, the episode has become part of the engineering canon.</w:t>
      </w:r>
    </w:p>
    <w:p w14:paraId="16C4D6C0" w14:textId="77777777" w:rsidR="009B058D" w:rsidRPr="009B058D" w:rsidRDefault="009B058D" w:rsidP="009B058D">
      <w:pPr>
        <w:jc w:val="both"/>
        <w:rPr>
          <w:sz w:val="24"/>
          <w:szCs w:val="24"/>
          <w:lang w:val="en-US"/>
        </w:rPr>
      </w:pPr>
      <w:r w:rsidRPr="009B058D">
        <w:rPr>
          <w:sz w:val="24"/>
          <w:szCs w:val="24"/>
          <w:lang w:val="en-US"/>
        </w:rPr>
        <w:pict w14:anchorId="03D7F451">
          <v:rect id="_x0000_i1589" style="width:0;height:0" o:hralign="center" o:hrstd="t" o:hr="t" fillcolor="#a0a0a0" stroked="f"/>
        </w:pict>
      </w:r>
    </w:p>
    <w:p w14:paraId="510610AF" w14:textId="77777777" w:rsidR="009B058D" w:rsidRDefault="009B058D" w:rsidP="009B058D">
      <w:pPr>
        <w:jc w:val="both"/>
        <w:rPr>
          <w:b/>
          <w:bCs/>
          <w:sz w:val="24"/>
          <w:szCs w:val="24"/>
          <w:lang w:val="en-US"/>
        </w:rPr>
      </w:pPr>
    </w:p>
    <w:p w14:paraId="4DF51CB2" w14:textId="77777777" w:rsidR="009B058D" w:rsidRDefault="009B058D" w:rsidP="009B058D">
      <w:pPr>
        <w:jc w:val="both"/>
        <w:rPr>
          <w:b/>
          <w:bCs/>
          <w:sz w:val="24"/>
          <w:szCs w:val="24"/>
          <w:lang w:val="en-US"/>
        </w:rPr>
      </w:pPr>
    </w:p>
    <w:p w14:paraId="186F4F81" w14:textId="70BAEBCD" w:rsidR="009B058D" w:rsidRPr="009B058D" w:rsidRDefault="009B058D" w:rsidP="009B058D">
      <w:pPr>
        <w:jc w:val="both"/>
        <w:rPr>
          <w:b/>
          <w:bCs/>
          <w:sz w:val="24"/>
          <w:szCs w:val="24"/>
          <w:lang w:val="en-US"/>
        </w:rPr>
      </w:pPr>
      <w:r w:rsidRPr="009B058D">
        <w:rPr>
          <w:b/>
          <w:bCs/>
          <w:sz w:val="24"/>
          <w:szCs w:val="24"/>
          <w:lang w:val="en-US"/>
        </w:rPr>
        <w:t>2. Building Background</w:t>
      </w:r>
    </w:p>
    <w:p w14:paraId="0149D3D8" w14:textId="0687C5CE" w:rsidR="009B058D" w:rsidRPr="009B058D" w:rsidRDefault="009B058D" w:rsidP="009B058D">
      <w:pPr>
        <w:jc w:val="both"/>
        <w:rPr>
          <w:sz w:val="24"/>
          <w:szCs w:val="24"/>
          <w:lang w:val="en-US"/>
        </w:rPr>
      </w:pPr>
    </w:p>
    <w:p w14:paraId="0850BFFE" w14:textId="5D32F256" w:rsidR="009B058D" w:rsidRPr="009B058D" w:rsidRDefault="009B058D" w:rsidP="009B058D">
      <w:pPr>
        <w:jc w:val="both"/>
        <w:rPr>
          <w:sz w:val="24"/>
          <w:szCs w:val="24"/>
          <w:lang w:val="en-US"/>
        </w:rPr>
      </w:pPr>
    </w:p>
    <w:p w14:paraId="1CE2216F" w14:textId="21BC2D48" w:rsidR="009B058D" w:rsidRPr="009B058D" w:rsidRDefault="009B058D" w:rsidP="009B058D">
      <w:pPr>
        <w:jc w:val="both"/>
        <w:rPr>
          <w:sz w:val="24"/>
          <w:szCs w:val="24"/>
          <w:lang w:val="en-US"/>
        </w:rPr>
      </w:pPr>
    </w:p>
    <w:p w14:paraId="2A295A1B" w14:textId="27B5E9F2" w:rsidR="009B058D" w:rsidRPr="009B058D" w:rsidRDefault="009B058D" w:rsidP="009B058D">
      <w:pPr>
        <w:jc w:val="both"/>
        <w:rPr>
          <w:sz w:val="24"/>
          <w:szCs w:val="24"/>
          <w:lang w:val="en-US"/>
        </w:rPr>
      </w:pPr>
    </w:p>
    <w:p w14:paraId="0F72978A" w14:textId="77777777" w:rsidR="009B058D" w:rsidRPr="009B058D" w:rsidRDefault="009B058D" w:rsidP="009B058D">
      <w:pPr>
        <w:numPr>
          <w:ilvl w:val="0"/>
          <w:numId w:val="6"/>
        </w:numPr>
        <w:jc w:val="both"/>
        <w:rPr>
          <w:sz w:val="24"/>
          <w:szCs w:val="24"/>
          <w:lang w:val="en-US"/>
        </w:rPr>
      </w:pPr>
      <w:r w:rsidRPr="009B058D">
        <w:rPr>
          <w:sz w:val="24"/>
          <w:szCs w:val="24"/>
          <w:lang w:val="en-US"/>
        </w:rPr>
        <w:t>The Citicorp Center (re-named the Citigroup Center) is located at 601 Lexington Avenue, Midtown Manhattan, New York City. </w:t>
      </w:r>
      <w:hyperlink r:id="rId9" w:tgtFrame="_blank" w:history="1">
        <w:r w:rsidRPr="009B058D">
          <w:rPr>
            <w:rStyle w:val="Hyperlink"/>
            <w:sz w:val="24"/>
            <w:szCs w:val="24"/>
            <w:lang w:val="en-US"/>
          </w:rPr>
          <w:t>Wikipedia+2Wikipedia+2</w:t>
        </w:r>
      </w:hyperlink>
    </w:p>
    <w:p w14:paraId="3A2C3D2C" w14:textId="77777777" w:rsidR="009B058D" w:rsidRPr="009B058D" w:rsidRDefault="009B058D" w:rsidP="009B058D">
      <w:pPr>
        <w:numPr>
          <w:ilvl w:val="0"/>
          <w:numId w:val="6"/>
        </w:numPr>
        <w:jc w:val="both"/>
        <w:rPr>
          <w:sz w:val="24"/>
          <w:szCs w:val="24"/>
          <w:lang w:val="en-US"/>
        </w:rPr>
      </w:pPr>
      <w:r w:rsidRPr="009B058D">
        <w:rPr>
          <w:sz w:val="24"/>
          <w:szCs w:val="24"/>
          <w:lang w:val="en-US"/>
        </w:rPr>
        <w:t>It was completed in 1977, standing 59 stories tall. </w:t>
      </w:r>
      <w:hyperlink r:id="rId10" w:tgtFrame="_blank" w:history="1">
        <w:r w:rsidRPr="009B058D">
          <w:rPr>
            <w:rStyle w:val="Hyperlink"/>
            <w:sz w:val="24"/>
            <w:szCs w:val="24"/>
            <w:lang w:val="en-US"/>
          </w:rPr>
          <w:t>Wikipedia+1</w:t>
        </w:r>
      </w:hyperlink>
    </w:p>
    <w:p w14:paraId="4E338D60" w14:textId="77777777" w:rsidR="009B058D" w:rsidRPr="009B058D" w:rsidRDefault="009B058D" w:rsidP="009B058D">
      <w:pPr>
        <w:numPr>
          <w:ilvl w:val="0"/>
          <w:numId w:val="6"/>
        </w:numPr>
        <w:jc w:val="both"/>
        <w:rPr>
          <w:sz w:val="24"/>
          <w:szCs w:val="24"/>
          <w:lang w:val="en-US"/>
        </w:rPr>
      </w:pPr>
      <w:r w:rsidRPr="009B058D">
        <w:rPr>
          <w:sz w:val="24"/>
          <w:szCs w:val="24"/>
          <w:lang w:val="en-US"/>
        </w:rPr>
        <w:t>The building’s design was an architectural and engineering statement: its base is supported on four stilts (columns) placed mid-side rather than at the corners, to allow for an existing church occupying one corner of the site. </w:t>
      </w:r>
      <w:hyperlink r:id="rId11" w:tgtFrame="_blank" w:history="1">
        <w:r w:rsidRPr="009B058D">
          <w:rPr>
            <w:rStyle w:val="Hyperlink"/>
            <w:sz w:val="24"/>
            <w:szCs w:val="24"/>
            <w:lang w:val="en-US"/>
          </w:rPr>
          <w:t>Dlubal Software+1</w:t>
        </w:r>
      </w:hyperlink>
    </w:p>
    <w:p w14:paraId="2AC36981" w14:textId="77777777" w:rsidR="009B058D" w:rsidRPr="009B058D" w:rsidRDefault="009B058D" w:rsidP="009B058D">
      <w:pPr>
        <w:numPr>
          <w:ilvl w:val="0"/>
          <w:numId w:val="6"/>
        </w:numPr>
        <w:jc w:val="both"/>
        <w:rPr>
          <w:sz w:val="24"/>
          <w:szCs w:val="24"/>
          <w:lang w:val="en-US"/>
        </w:rPr>
      </w:pPr>
      <w:r w:rsidRPr="009B058D">
        <w:rPr>
          <w:sz w:val="24"/>
          <w:szCs w:val="24"/>
          <w:lang w:val="en-US"/>
        </w:rPr>
        <w:t xml:space="preserve">The structural engineer was William LeMessurier (and his firm), working with architect Hugh Stubbins </w:t>
      </w:r>
      <w:proofErr w:type="gramStart"/>
      <w:r w:rsidRPr="009B058D">
        <w:rPr>
          <w:sz w:val="24"/>
          <w:szCs w:val="24"/>
          <w:lang w:val="en-US"/>
        </w:rPr>
        <w:t>Jr..</w:t>
      </w:r>
      <w:proofErr w:type="gramEnd"/>
      <w:r w:rsidRPr="009B058D">
        <w:rPr>
          <w:sz w:val="24"/>
          <w:szCs w:val="24"/>
          <w:lang w:val="en-US"/>
        </w:rPr>
        <w:t> </w:t>
      </w:r>
      <w:hyperlink r:id="rId12" w:tgtFrame="_blank" w:history="1">
        <w:r w:rsidRPr="009B058D">
          <w:rPr>
            <w:rStyle w:val="Hyperlink"/>
            <w:sz w:val="24"/>
            <w:szCs w:val="24"/>
            <w:lang w:val="en-US"/>
          </w:rPr>
          <w:t>Wikipedia+1</w:t>
        </w:r>
      </w:hyperlink>
    </w:p>
    <w:p w14:paraId="25B3343C" w14:textId="77777777" w:rsidR="009B058D" w:rsidRPr="009B058D" w:rsidRDefault="009B058D" w:rsidP="009B058D">
      <w:pPr>
        <w:numPr>
          <w:ilvl w:val="0"/>
          <w:numId w:val="6"/>
        </w:numPr>
        <w:jc w:val="both"/>
        <w:rPr>
          <w:sz w:val="24"/>
          <w:szCs w:val="24"/>
          <w:lang w:val="en-US"/>
        </w:rPr>
      </w:pPr>
      <w:r w:rsidRPr="009B058D">
        <w:rPr>
          <w:sz w:val="24"/>
          <w:szCs w:val="24"/>
          <w:lang w:val="en-US"/>
        </w:rPr>
        <w:t>At the time the building was lauded for its innovation in tall-building design, skyline presence and engineering creativity.</w:t>
      </w:r>
    </w:p>
    <w:p w14:paraId="66E7A861" w14:textId="77777777" w:rsidR="009B058D" w:rsidRPr="009B058D" w:rsidRDefault="009B058D" w:rsidP="009B058D">
      <w:pPr>
        <w:jc w:val="both"/>
        <w:rPr>
          <w:sz w:val="24"/>
          <w:szCs w:val="24"/>
          <w:lang w:val="en-US"/>
        </w:rPr>
      </w:pPr>
      <w:r w:rsidRPr="009B058D">
        <w:rPr>
          <w:sz w:val="24"/>
          <w:szCs w:val="24"/>
          <w:lang w:val="en-US"/>
        </w:rPr>
        <w:pict w14:anchorId="19049058">
          <v:rect id="_x0000_i1593" style="width:0;height:0" o:hralign="center" o:hrstd="t" o:hr="t" fillcolor="#a0a0a0" stroked="f"/>
        </w:pict>
      </w:r>
    </w:p>
    <w:p w14:paraId="6545531F" w14:textId="77777777" w:rsidR="009B058D" w:rsidRDefault="009B058D" w:rsidP="009B058D">
      <w:pPr>
        <w:jc w:val="both"/>
        <w:rPr>
          <w:b/>
          <w:bCs/>
          <w:sz w:val="24"/>
          <w:szCs w:val="24"/>
          <w:lang w:val="en-US"/>
        </w:rPr>
      </w:pPr>
    </w:p>
    <w:p w14:paraId="28C43C11" w14:textId="77777777" w:rsidR="009B058D" w:rsidRDefault="009B058D" w:rsidP="009B058D">
      <w:pPr>
        <w:jc w:val="both"/>
        <w:rPr>
          <w:b/>
          <w:bCs/>
          <w:sz w:val="24"/>
          <w:szCs w:val="24"/>
          <w:lang w:val="en-US"/>
        </w:rPr>
      </w:pPr>
    </w:p>
    <w:p w14:paraId="5C1AB84D" w14:textId="77777777" w:rsidR="009B058D" w:rsidRDefault="009B058D" w:rsidP="009B058D">
      <w:pPr>
        <w:jc w:val="both"/>
        <w:rPr>
          <w:b/>
          <w:bCs/>
          <w:sz w:val="24"/>
          <w:szCs w:val="24"/>
          <w:lang w:val="en-US"/>
        </w:rPr>
      </w:pPr>
    </w:p>
    <w:p w14:paraId="60336F1F" w14:textId="0B411DA3" w:rsidR="009B058D" w:rsidRPr="009B058D" w:rsidRDefault="009B058D" w:rsidP="009B058D">
      <w:pPr>
        <w:jc w:val="both"/>
        <w:rPr>
          <w:b/>
          <w:bCs/>
          <w:sz w:val="24"/>
          <w:szCs w:val="24"/>
          <w:lang w:val="en-US"/>
        </w:rPr>
      </w:pPr>
      <w:r w:rsidRPr="009B058D">
        <w:rPr>
          <w:b/>
          <w:bCs/>
          <w:sz w:val="24"/>
          <w:szCs w:val="24"/>
          <w:lang w:val="en-US"/>
        </w:rPr>
        <w:t>3. Design Innovations and Unusual Features</w:t>
      </w:r>
    </w:p>
    <w:p w14:paraId="303AE8F5" w14:textId="5CD9F2B9" w:rsidR="009B058D" w:rsidRPr="009B058D" w:rsidRDefault="009B058D" w:rsidP="009B058D">
      <w:pPr>
        <w:jc w:val="both"/>
        <w:rPr>
          <w:sz w:val="24"/>
          <w:szCs w:val="24"/>
          <w:lang w:val="en-US"/>
        </w:rPr>
      </w:pPr>
    </w:p>
    <w:p w14:paraId="5F07B9AC" w14:textId="30418909" w:rsidR="009B058D" w:rsidRPr="009B058D" w:rsidRDefault="009B058D" w:rsidP="009B058D">
      <w:pPr>
        <w:jc w:val="both"/>
        <w:rPr>
          <w:sz w:val="24"/>
          <w:szCs w:val="24"/>
          <w:lang w:val="en-US"/>
        </w:rPr>
      </w:pPr>
    </w:p>
    <w:p w14:paraId="466ADDF1" w14:textId="1F781568" w:rsidR="009B058D" w:rsidRPr="009B058D" w:rsidRDefault="009B058D" w:rsidP="009B058D">
      <w:pPr>
        <w:jc w:val="both"/>
        <w:rPr>
          <w:sz w:val="24"/>
          <w:szCs w:val="24"/>
          <w:lang w:val="en-US"/>
        </w:rPr>
      </w:pPr>
    </w:p>
    <w:p w14:paraId="0CD133F5" w14:textId="4C81B97E" w:rsidR="009B058D" w:rsidRPr="009B058D" w:rsidRDefault="009B058D" w:rsidP="009B058D">
      <w:pPr>
        <w:jc w:val="both"/>
        <w:rPr>
          <w:sz w:val="24"/>
          <w:szCs w:val="24"/>
          <w:lang w:val="en-US"/>
        </w:rPr>
      </w:pPr>
    </w:p>
    <w:p w14:paraId="50C2E378" w14:textId="77777777" w:rsidR="009B058D" w:rsidRPr="009B058D" w:rsidRDefault="009B058D" w:rsidP="009B058D">
      <w:pPr>
        <w:numPr>
          <w:ilvl w:val="0"/>
          <w:numId w:val="7"/>
        </w:numPr>
        <w:jc w:val="both"/>
        <w:rPr>
          <w:sz w:val="24"/>
          <w:szCs w:val="24"/>
          <w:lang w:val="en-US"/>
        </w:rPr>
      </w:pPr>
      <w:r w:rsidRPr="009B058D">
        <w:rPr>
          <w:b/>
          <w:bCs/>
          <w:sz w:val="24"/>
          <w:szCs w:val="24"/>
          <w:lang w:val="en-US"/>
        </w:rPr>
        <w:t>Mid-side support on stilts:</w:t>
      </w:r>
      <w:r w:rsidRPr="009B058D">
        <w:rPr>
          <w:sz w:val="24"/>
          <w:szCs w:val="24"/>
          <w:lang w:val="en-US"/>
        </w:rPr>
        <w:t> Due to the presence of St. Peter’s Lutheran Church on one corner of the site, the building could not place its main support columns at the corners; instead, four large columns were placed at the centre of each side, creating a bold structural layout. </w:t>
      </w:r>
      <w:hyperlink r:id="rId13" w:tgtFrame="_blank" w:history="1">
        <w:r w:rsidRPr="009B058D">
          <w:rPr>
            <w:rStyle w:val="Hyperlink"/>
            <w:sz w:val="24"/>
            <w:szCs w:val="24"/>
            <w:lang w:val="en-US"/>
          </w:rPr>
          <w:t>Duke People+1</w:t>
        </w:r>
      </w:hyperlink>
    </w:p>
    <w:p w14:paraId="5F9D458A" w14:textId="77777777" w:rsidR="009B058D" w:rsidRPr="009B058D" w:rsidRDefault="009B058D" w:rsidP="009B058D">
      <w:pPr>
        <w:numPr>
          <w:ilvl w:val="0"/>
          <w:numId w:val="7"/>
        </w:numPr>
        <w:jc w:val="both"/>
        <w:rPr>
          <w:sz w:val="24"/>
          <w:szCs w:val="24"/>
          <w:lang w:val="en-US"/>
        </w:rPr>
      </w:pPr>
      <w:r w:rsidRPr="009B058D">
        <w:rPr>
          <w:b/>
          <w:bCs/>
          <w:sz w:val="24"/>
          <w:szCs w:val="24"/>
          <w:lang w:val="en-US"/>
        </w:rPr>
        <w:t>Chevron bracing system:</w:t>
      </w:r>
      <w:r w:rsidRPr="009B058D">
        <w:rPr>
          <w:sz w:val="24"/>
          <w:szCs w:val="24"/>
          <w:lang w:val="en-US"/>
        </w:rPr>
        <w:t> The structure incorporated diagonal bracing (chevrons) to carry wind loads and transfer forces from the upper floors to the base. </w:t>
      </w:r>
      <w:hyperlink r:id="rId14" w:tgtFrame="_blank" w:history="1">
        <w:r w:rsidRPr="009B058D">
          <w:rPr>
            <w:rStyle w:val="Hyperlink"/>
            <w:sz w:val="24"/>
            <w:szCs w:val="24"/>
            <w:lang w:val="en-US"/>
          </w:rPr>
          <w:t>Duke People+1</w:t>
        </w:r>
      </w:hyperlink>
    </w:p>
    <w:p w14:paraId="2F819BE5" w14:textId="77777777" w:rsidR="009B058D" w:rsidRPr="009B058D" w:rsidRDefault="009B058D" w:rsidP="009B058D">
      <w:pPr>
        <w:numPr>
          <w:ilvl w:val="0"/>
          <w:numId w:val="7"/>
        </w:numPr>
        <w:jc w:val="both"/>
        <w:rPr>
          <w:sz w:val="24"/>
          <w:szCs w:val="24"/>
          <w:lang w:val="en-US"/>
        </w:rPr>
      </w:pPr>
      <w:r w:rsidRPr="009B058D">
        <w:rPr>
          <w:b/>
          <w:bCs/>
          <w:sz w:val="24"/>
          <w:szCs w:val="24"/>
          <w:lang w:val="en-US"/>
        </w:rPr>
        <w:lastRenderedPageBreak/>
        <w:t>Tuned mass damper:</w:t>
      </w:r>
      <w:r w:rsidRPr="009B058D">
        <w:rPr>
          <w:sz w:val="24"/>
          <w:szCs w:val="24"/>
          <w:lang w:val="en-US"/>
        </w:rPr>
        <w:t> On the rooftop was a tuned mass damper—a 400+-ton concrete block floating on a film of oil and attached by springs—to reduce building sway from wind or seismic action. </w:t>
      </w:r>
      <w:hyperlink r:id="rId15" w:tgtFrame="_blank" w:history="1">
        <w:r w:rsidRPr="009B058D">
          <w:rPr>
            <w:rStyle w:val="Hyperlink"/>
            <w:sz w:val="24"/>
            <w:szCs w:val="24"/>
            <w:lang w:val="en-US"/>
          </w:rPr>
          <w:t>Duke People+2Dlubal Software+2</w:t>
        </w:r>
      </w:hyperlink>
    </w:p>
    <w:p w14:paraId="1A467516" w14:textId="77777777" w:rsidR="009B058D" w:rsidRPr="009B058D" w:rsidRDefault="009B058D" w:rsidP="009B058D">
      <w:pPr>
        <w:numPr>
          <w:ilvl w:val="0"/>
          <w:numId w:val="7"/>
        </w:numPr>
        <w:jc w:val="both"/>
        <w:rPr>
          <w:sz w:val="24"/>
          <w:szCs w:val="24"/>
          <w:lang w:val="en-US"/>
        </w:rPr>
      </w:pPr>
      <w:r w:rsidRPr="009B058D">
        <w:rPr>
          <w:sz w:val="24"/>
          <w:szCs w:val="24"/>
          <w:lang w:val="en-US"/>
        </w:rPr>
        <w:t>These innovations made the building lightweight for its height, elegant in form, and highly visible. However, they also introduced complexity and dependency on assumptions (e.g., wind loads, how braces and joints behave under stress, how supporting elements behave under diagonal (or “quartering”) wind loads).</w:t>
      </w:r>
    </w:p>
    <w:p w14:paraId="1C069F1E" w14:textId="77777777" w:rsidR="009B058D" w:rsidRPr="009B058D" w:rsidRDefault="009B058D" w:rsidP="009B058D">
      <w:pPr>
        <w:jc w:val="both"/>
        <w:rPr>
          <w:sz w:val="24"/>
          <w:szCs w:val="24"/>
          <w:lang w:val="en-US"/>
        </w:rPr>
      </w:pPr>
      <w:r w:rsidRPr="009B058D">
        <w:rPr>
          <w:sz w:val="24"/>
          <w:szCs w:val="24"/>
          <w:lang w:val="en-US"/>
        </w:rPr>
        <w:pict w14:anchorId="4477059A">
          <v:rect id="_x0000_i1597" style="width:0;height:0" o:hralign="center" o:hrstd="t" o:hr="t" fillcolor="#a0a0a0" stroked="f"/>
        </w:pict>
      </w:r>
    </w:p>
    <w:p w14:paraId="65BD1E86" w14:textId="77777777" w:rsidR="009B058D" w:rsidRDefault="009B058D" w:rsidP="009B058D">
      <w:pPr>
        <w:jc w:val="both"/>
        <w:rPr>
          <w:b/>
          <w:bCs/>
          <w:sz w:val="24"/>
          <w:szCs w:val="24"/>
          <w:lang w:val="en-US"/>
        </w:rPr>
      </w:pPr>
    </w:p>
    <w:p w14:paraId="4512F85F" w14:textId="5B97B94D" w:rsidR="009B058D" w:rsidRPr="009B058D" w:rsidRDefault="009B058D" w:rsidP="009B058D">
      <w:pPr>
        <w:jc w:val="both"/>
        <w:rPr>
          <w:b/>
          <w:bCs/>
          <w:sz w:val="24"/>
          <w:szCs w:val="24"/>
          <w:lang w:val="en-US"/>
        </w:rPr>
      </w:pPr>
      <w:r w:rsidRPr="009B058D">
        <w:rPr>
          <w:b/>
          <w:bCs/>
          <w:sz w:val="24"/>
          <w:szCs w:val="24"/>
          <w:lang w:val="en-US"/>
        </w:rPr>
        <w:t>4. Discovery of the Flaw</w:t>
      </w:r>
    </w:p>
    <w:p w14:paraId="03CF3061" w14:textId="54FA400D" w:rsidR="009B058D" w:rsidRPr="009B058D" w:rsidRDefault="009B058D" w:rsidP="009B058D">
      <w:pPr>
        <w:jc w:val="both"/>
        <w:rPr>
          <w:sz w:val="24"/>
          <w:szCs w:val="24"/>
          <w:lang w:val="en-US"/>
        </w:rPr>
      </w:pPr>
    </w:p>
    <w:p w14:paraId="3E7FA0E0" w14:textId="67161396" w:rsidR="009B058D" w:rsidRPr="009B058D" w:rsidRDefault="009B058D" w:rsidP="009B058D">
      <w:pPr>
        <w:jc w:val="both"/>
        <w:rPr>
          <w:sz w:val="24"/>
          <w:szCs w:val="24"/>
          <w:lang w:val="en-US"/>
        </w:rPr>
      </w:pPr>
    </w:p>
    <w:p w14:paraId="414B8E96" w14:textId="09BB075C" w:rsidR="009B058D" w:rsidRPr="009B058D" w:rsidRDefault="009B058D" w:rsidP="009B058D">
      <w:pPr>
        <w:jc w:val="both"/>
        <w:rPr>
          <w:sz w:val="24"/>
          <w:szCs w:val="24"/>
          <w:lang w:val="en-US"/>
        </w:rPr>
      </w:pPr>
    </w:p>
    <w:p w14:paraId="0AA9E8D6" w14:textId="60B23729" w:rsidR="009B058D" w:rsidRPr="009B058D" w:rsidRDefault="009B058D" w:rsidP="009B058D">
      <w:pPr>
        <w:jc w:val="both"/>
        <w:rPr>
          <w:sz w:val="24"/>
          <w:szCs w:val="24"/>
          <w:lang w:val="en-US"/>
        </w:rPr>
      </w:pPr>
    </w:p>
    <w:p w14:paraId="33561323" w14:textId="77777777" w:rsidR="009B058D" w:rsidRPr="009B058D" w:rsidRDefault="009B058D" w:rsidP="009B058D">
      <w:pPr>
        <w:numPr>
          <w:ilvl w:val="0"/>
          <w:numId w:val="8"/>
        </w:numPr>
        <w:jc w:val="both"/>
        <w:rPr>
          <w:sz w:val="24"/>
          <w:szCs w:val="24"/>
          <w:lang w:val="en-US"/>
        </w:rPr>
      </w:pPr>
      <w:r w:rsidRPr="009B058D">
        <w:rPr>
          <w:sz w:val="24"/>
          <w:szCs w:val="24"/>
          <w:lang w:val="en-US"/>
        </w:rPr>
        <w:t>In mid-1978 (about a year after completion), the flaw was discovered. A student inquiry triggered the review. One version: a Princeton undergraduate, Diane Hartley, asked how the building would perform under quartering winds (i.e., winds hitting the building from a diagonal direction). </w:t>
      </w:r>
      <w:hyperlink r:id="rId16" w:tgtFrame="_blank" w:history="1">
        <w:r w:rsidRPr="009B058D">
          <w:rPr>
            <w:rStyle w:val="Hyperlink"/>
            <w:sz w:val="24"/>
            <w:szCs w:val="24"/>
            <w:lang w:val="en-US"/>
          </w:rPr>
          <w:t>Wikipedia+2Dlubal Software+2</w:t>
        </w:r>
      </w:hyperlink>
    </w:p>
    <w:p w14:paraId="082904CD" w14:textId="77777777" w:rsidR="009B058D" w:rsidRPr="009B058D" w:rsidRDefault="009B058D" w:rsidP="009B058D">
      <w:pPr>
        <w:numPr>
          <w:ilvl w:val="0"/>
          <w:numId w:val="8"/>
        </w:numPr>
        <w:jc w:val="both"/>
        <w:rPr>
          <w:sz w:val="24"/>
          <w:szCs w:val="24"/>
          <w:lang w:val="en-US"/>
        </w:rPr>
      </w:pPr>
      <w:r w:rsidRPr="009B058D">
        <w:rPr>
          <w:sz w:val="24"/>
          <w:szCs w:val="24"/>
          <w:lang w:val="en-US"/>
        </w:rPr>
        <w:t>The structural engineer realised that the building’s design had been analysed primarily for perpendicular (straight-on) wind loads rather than for winds striking at 45°. In the chevron braces, stress under quartering winds increased significantly (about 40% more for four of the eight chevron tiers). </w:t>
      </w:r>
      <w:hyperlink r:id="rId17" w:tgtFrame="_blank" w:history="1">
        <w:r w:rsidRPr="009B058D">
          <w:rPr>
            <w:rStyle w:val="Hyperlink"/>
            <w:sz w:val="24"/>
            <w:szCs w:val="24"/>
            <w:lang w:val="en-US"/>
          </w:rPr>
          <w:t>Duke People+2Dlubal Software+2</w:t>
        </w:r>
      </w:hyperlink>
    </w:p>
    <w:p w14:paraId="28A9F335" w14:textId="77777777" w:rsidR="009B058D" w:rsidRPr="009B058D" w:rsidRDefault="009B058D" w:rsidP="009B058D">
      <w:pPr>
        <w:numPr>
          <w:ilvl w:val="0"/>
          <w:numId w:val="8"/>
        </w:numPr>
        <w:jc w:val="both"/>
        <w:rPr>
          <w:sz w:val="24"/>
          <w:szCs w:val="24"/>
          <w:lang w:val="en-US"/>
        </w:rPr>
      </w:pPr>
      <w:r w:rsidRPr="009B058D">
        <w:rPr>
          <w:sz w:val="24"/>
          <w:szCs w:val="24"/>
          <w:lang w:val="en-US"/>
        </w:rPr>
        <w:t xml:space="preserve">A further complication: during construction, the design originally called for welded joints in the braces, but at some </w:t>
      </w:r>
      <w:proofErr w:type="gramStart"/>
      <w:r w:rsidRPr="009B058D">
        <w:rPr>
          <w:sz w:val="24"/>
          <w:szCs w:val="24"/>
          <w:lang w:val="en-US"/>
        </w:rPr>
        <w:t>point</w:t>
      </w:r>
      <w:proofErr w:type="gramEnd"/>
      <w:r w:rsidRPr="009B058D">
        <w:rPr>
          <w:sz w:val="24"/>
          <w:szCs w:val="24"/>
          <w:lang w:val="en-US"/>
        </w:rPr>
        <w:t xml:space="preserve"> the contractor substituted bolted joints (less expensive) which are weaker under certain load conditions. This change had not been fully re‐analysed for the quartering wind case. </w:t>
      </w:r>
      <w:hyperlink r:id="rId18" w:tgtFrame="_blank" w:history="1">
        <w:r w:rsidRPr="009B058D">
          <w:rPr>
            <w:rStyle w:val="Hyperlink"/>
            <w:sz w:val="24"/>
            <w:szCs w:val="24"/>
            <w:lang w:val="en-US"/>
          </w:rPr>
          <w:t>Dlubal Software+1</w:t>
        </w:r>
      </w:hyperlink>
    </w:p>
    <w:p w14:paraId="1AE3FDB7" w14:textId="77777777" w:rsidR="009B058D" w:rsidRPr="009B058D" w:rsidRDefault="009B058D" w:rsidP="009B058D">
      <w:pPr>
        <w:numPr>
          <w:ilvl w:val="0"/>
          <w:numId w:val="8"/>
        </w:numPr>
        <w:jc w:val="both"/>
        <w:rPr>
          <w:sz w:val="24"/>
          <w:szCs w:val="24"/>
          <w:lang w:val="en-US"/>
        </w:rPr>
      </w:pPr>
      <w:r w:rsidRPr="009B058D">
        <w:rPr>
          <w:sz w:val="24"/>
          <w:szCs w:val="24"/>
          <w:lang w:val="en-US"/>
        </w:rPr>
        <w:t>Because of the combination of increased load from diagonal winds and weaker bolted joints, the risk of structural failure under certain wind conditions was much higher than initially assumed. In one estimate, the building might have had a 1-in-16 chance per year of collapse under certain conditions. </w:t>
      </w:r>
      <w:hyperlink r:id="rId19" w:tgtFrame="_blank" w:history="1">
        <w:r w:rsidRPr="009B058D">
          <w:rPr>
            <w:rStyle w:val="Hyperlink"/>
            <w:sz w:val="24"/>
            <w:szCs w:val="24"/>
            <w:lang w:val="en-US"/>
          </w:rPr>
          <w:t>Duke People+1</w:t>
        </w:r>
      </w:hyperlink>
    </w:p>
    <w:p w14:paraId="37891791" w14:textId="77777777" w:rsidR="009B058D" w:rsidRPr="009B058D" w:rsidRDefault="009B058D" w:rsidP="009B058D">
      <w:pPr>
        <w:jc w:val="both"/>
        <w:rPr>
          <w:sz w:val="24"/>
          <w:szCs w:val="24"/>
          <w:lang w:val="en-US"/>
        </w:rPr>
      </w:pPr>
      <w:r w:rsidRPr="009B058D">
        <w:rPr>
          <w:sz w:val="24"/>
          <w:szCs w:val="24"/>
          <w:lang w:val="en-US"/>
        </w:rPr>
        <w:pict w14:anchorId="31D8FF80">
          <v:rect id="_x0000_i1601" style="width:0;height:0" o:hralign="center" o:hrstd="t" o:hr="t" fillcolor="#a0a0a0" stroked="f"/>
        </w:pict>
      </w:r>
    </w:p>
    <w:p w14:paraId="5B382293" w14:textId="0885DD2F" w:rsidR="009B058D" w:rsidRPr="009B058D" w:rsidRDefault="009B058D" w:rsidP="009B058D">
      <w:pPr>
        <w:jc w:val="both"/>
        <w:rPr>
          <w:b/>
          <w:bCs/>
          <w:sz w:val="24"/>
          <w:szCs w:val="24"/>
          <w:lang w:val="en-US"/>
        </w:rPr>
      </w:pPr>
      <w:r w:rsidRPr="009B058D">
        <w:rPr>
          <w:b/>
          <w:bCs/>
          <w:sz w:val="24"/>
          <w:szCs w:val="24"/>
          <w:lang w:val="en-US"/>
        </w:rPr>
        <w:t>5. Analysis of the Problem</w:t>
      </w:r>
    </w:p>
    <w:p w14:paraId="1393564B" w14:textId="77777777" w:rsidR="009B058D" w:rsidRPr="009B058D" w:rsidRDefault="009B058D" w:rsidP="009B058D">
      <w:pPr>
        <w:jc w:val="both"/>
        <w:rPr>
          <w:sz w:val="24"/>
          <w:szCs w:val="24"/>
          <w:lang w:val="en-US"/>
        </w:rPr>
      </w:pPr>
      <w:r w:rsidRPr="009B058D">
        <w:rPr>
          <w:sz w:val="24"/>
          <w:szCs w:val="24"/>
          <w:lang w:val="en-US"/>
        </w:rPr>
        <w:t>In more technical detail:</w:t>
      </w:r>
    </w:p>
    <w:p w14:paraId="16623C83" w14:textId="77777777" w:rsidR="009B058D" w:rsidRPr="009B058D" w:rsidRDefault="009B058D" w:rsidP="009B058D">
      <w:pPr>
        <w:numPr>
          <w:ilvl w:val="0"/>
          <w:numId w:val="9"/>
        </w:numPr>
        <w:jc w:val="both"/>
        <w:rPr>
          <w:sz w:val="24"/>
          <w:szCs w:val="24"/>
          <w:lang w:val="en-US"/>
        </w:rPr>
      </w:pPr>
      <w:r w:rsidRPr="009B058D">
        <w:rPr>
          <w:b/>
          <w:bCs/>
          <w:sz w:val="24"/>
          <w:szCs w:val="24"/>
          <w:lang w:val="en-US"/>
        </w:rPr>
        <w:t>Quartering winds:</w:t>
      </w:r>
      <w:r w:rsidRPr="009B058D">
        <w:rPr>
          <w:sz w:val="24"/>
          <w:szCs w:val="24"/>
          <w:lang w:val="en-US"/>
        </w:rPr>
        <w:t xml:space="preserve"> These are winds that strike a building at an angle rather than directly face-on. Because of geometry, loads on structural members and joints can be </w:t>
      </w:r>
      <w:r w:rsidRPr="009B058D">
        <w:rPr>
          <w:sz w:val="24"/>
          <w:szCs w:val="24"/>
          <w:lang w:val="en-US"/>
        </w:rPr>
        <w:lastRenderedPageBreak/>
        <w:t>higher than for perpendicular winds because two faces of the building may be impacted simultaneously, inducing combined stresses and torsion. </w:t>
      </w:r>
      <w:hyperlink r:id="rId20" w:tgtFrame="_blank" w:history="1">
        <w:r w:rsidRPr="009B058D">
          <w:rPr>
            <w:rStyle w:val="Hyperlink"/>
            <w:sz w:val="24"/>
            <w:szCs w:val="24"/>
            <w:lang w:val="en-US"/>
          </w:rPr>
          <w:t>Duke People+1</w:t>
        </w:r>
      </w:hyperlink>
    </w:p>
    <w:p w14:paraId="51B82915" w14:textId="77777777" w:rsidR="009B058D" w:rsidRPr="009B058D" w:rsidRDefault="009B058D" w:rsidP="009B058D">
      <w:pPr>
        <w:numPr>
          <w:ilvl w:val="0"/>
          <w:numId w:val="9"/>
        </w:numPr>
        <w:jc w:val="both"/>
        <w:rPr>
          <w:sz w:val="24"/>
          <w:szCs w:val="24"/>
          <w:lang w:val="en-US"/>
        </w:rPr>
      </w:pPr>
      <w:r w:rsidRPr="009B058D">
        <w:rPr>
          <w:b/>
          <w:bCs/>
          <w:sz w:val="24"/>
          <w:szCs w:val="24"/>
          <w:lang w:val="en-US"/>
        </w:rPr>
        <w:t>Joint substitution risk:</w:t>
      </w:r>
      <w:r w:rsidRPr="009B058D">
        <w:rPr>
          <w:sz w:val="24"/>
          <w:szCs w:val="24"/>
          <w:lang w:val="en-US"/>
        </w:rPr>
        <w:t> The original design required welded joints in the chevron bracing. Welds transfer load smoothly and fully; bolted joints, especially if not designed/re‐analysed for the new loading scenario, can have significantly less strength or less fatigue resistance. In the Citicorp case, the substitution of bolted joints without redoing the wind-load analysis created a vulnerability. </w:t>
      </w:r>
      <w:hyperlink r:id="rId21" w:tgtFrame="_blank" w:history="1">
        <w:r w:rsidRPr="009B058D">
          <w:rPr>
            <w:rStyle w:val="Hyperlink"/>
            <w:sz w:val="24"/>
            <w:szCs w:val="24"/>
            <w:lang w:val="en-US"/>
          </w:rPr>
          <w:t>Dlubal Software+1</w:t>
        </w:r>
      </w:hyperlink>
    </w:p>
    <w:p w14:paraId="210CED03" w14:textId="77777777" w:rsidR="009B058D" w:rsidRPr="009B058D" w:rsidRDefault="009B058D" w:rsidP="009B058D">
      <w:pPr>
        <w:numPr>
          <w:ilvl w:val="0"/>
          <w:numId w:val="9"/>
        </w:numPr>
        <w:jc w:val="both"/>
        <w:rPr>
          <w:sz w:val="24"/>
          <w:szCs w:val="24"/>
          <w:lang w:val="en-US"/>
        </w:rPr>
      </w:pPr>
      <w:r w:rsidRPr="009B058D">
        <w:rPr>
          <w:b/>
          <w:bCs/>
          <w:sz w:val="24"/>
          <w:szCs w:val="24"/>
          <w:lang w:val="en-US"/>
        </w:rPr>
        <w:t>Margin of safety undermined:</w:t>
      </w:r>
      <w:r w:rsidRPr="009B058D">
        <w:rPr>
          <w:sz w:val="24"/>
          <w:szCs w:val="24"/>
          <w:lang w:val="en-US"/>
        </w:rPr>
        <w:t> The change in joint type and the increase in wind load from diagonal winds together reduced the margin of safety. The structural engineer determined that the building, as built, could be at risk under a strong storm or high diagonal wind event. </w:t>
      </w:r>
      <w:hyperlink r:id="rId22" w:tgtFrame="_blank" w:history="1">
        <w:r w:rsidRPr="009B058D">
          <w:rPr>
            <w:rStyle w:val="Hyperlink"/>
            <w:sz w:val="24"/>
            <w:szCs w:val="24"/>
            <w:lang w:val="en-US"/>
          </w:rPr>
          <w:t>Wikipedia+1</w:t>
        </w:r>
      </w:hyperlink>
    </w:p>
    <w:p w14:paraId="07ED5287" w14:textId="77777777" w:rsidR="009B058D" w:rsidRPr="009B058D" w:rsidRDefault="009B058D" w:rsidP="009B058D">
      <w:pPr>
        <w:numPr>
          <w:ilvl w:val="0"/>
          <w:numId w:val="9"/>
        </w:numPr>
        <w:jc w:val="both"/>
        <w:rPr>
          <w:sz w:val="24"/>
          <w:szCs w:val="24"/>
          <w:lang w:val="en-US"/>
        </w:rPr>
      </w:pPr>
      <w:r w:rsidRPr="009B058D">
        <w:rPr>
          <w:b/>
          <w:bCs/>
          <w:sz w:val="24"/>
          <w:szCs w:val="24"/>
          <w:lang w:val="en-US"/>
        </w:rPr>
        <w:t>Additional factors:</w:t>
      </w:r>
      <w:r w:rsidRPr="009B058D">
        <w:rPr>
          <w:sz w:val="24"/>
          <w:szCs w:val="24"/>
          <w:lang w:val="en-US"/>
        </w:rPr>
        <w:t> The tuned mass damper provided comfort (reducing sway) but was not originally conceived as a safety device in the event of structural failure; moreover, if power were lost, the damper would be non-operative. The unusual support arrangement (stilts) and geometry added complexity. </w:t>
      </w:r>
      <w:hyperlink r:id="rId23" w:tgtFrame="_blank" w:history="1">
        <w:r w:rsidRPr="009B058D">
          <w:rPr>
            <w:rStyle w:val="Hyperlink"/>
            <w:sz w:val="24"/>
            <w:szCs w:val="24"/>
            <w:lang w:val="en-US"/>
          </w:rPr>
          <w:t>Duke People+1</w:t>
        </w:r>
      </w:hyperlink>
    </w:p>
    <w:p w14:paraId="3683AEA1" w14:textId="77777777" w:rsidR="009B058D" w:rsidRPr="009B058D" w:rsidRDefault="009B058D" w:rsidP="009B058D">
      <w:pPr>
        <w:numPr>
          <w:ilvl w:val="0"/>
          <w:numId w:val="9"/>
        </w:numPr>
        <w:jc w:val="both"/>
        <w:rPr>
          <w:sz w:val="24"/>
          <w:szCs w:val="24"/>
          <w:lang w:val="en-US"/>
        </w:rPr>
      </w:pPr>
      <w:r w:rsidRPr="009B058D">
        <w:rPr>
          <w:sz w:val="24"/>
          <w:szCs w:val="24"/>
          <w:lang w:val="en-US"/>
        </w:rPr>
        <w:t>In short: an impressive design, but one where a chain of small decisions (design assumptions, joint substitution, incomplete load cases) nearly combined into large risk.</w:t>
      </w:r>
    </w:p>
    <w:p w14:paraId="74CF290E" w14:textId="77777777" w:rsidR="009B058D" w:rsidRPr="009B058D" w:rsidRDefault="009B058D" w:rsidP="009B058D">
      <w:pPr>
        <w:jc w:val="both"/>
        <w:rPr>
          <w:sz w:val="24"/>
          <w:szCs w:val="24"/>
          <w:lang w:val="en-US"/>
        </w:rPr>
      </w:pPr>
      <w:r w:rsidRPr="009B058D">
        <w:rPr>
          <w:sz w:val="24"/>
          <w:szCs w:val="24"/>
          <w:lang w:val="en-US"/>
        </w:rPr>
        <w:pict w14:anchorId="7C54B17E">
          <v:rect id="_x0000_i1605" style="width:0;height:0" o:hralign="center" o:hrstd="t" o:hr="t" fillcolor="#a0a0a0" stroked="f"/>
        </w:pict>
      </w:r>
    </w:p>
    <w:p w14:paraId="4A6704BB" w14:textId="77777777" w:rsidR="009B058D" w:rsidRPr="009B058D" w:rsidRDefault="009B058D" w:rsidP="009B058D">
      <w:pPr>
        <w:jc w:val="both"/>
        <w:rPr>
          <w:b/>
          <w:bCs/>
          <w:sz w:val="24"/>
          <w:szCs w:val="24"/>
          <w:lang w:val="en-US"/>
        </w:rPr>
      </w:pPr>
      <w:r w:rsidRPr="009B058D">
        <w:rPr>
          <w:b/>
          <w:bCs/>
          <w:sz w:val="24"/>
          <w:szCs w:val="24"/>
          <w:lang w:val="en-US"/>
        </w:rPr>
        <w:t>6. Emergency Response and Repairs</w:t>
      </w:r>
    </w:p>
    <w:p w14:paraId="59C15E5F" w14:textId="5794D01F" w:rsidR="009B058D" w:rsidRPr="009B058D" w:rsidRDefault="009B058D" w:rsidP="009B058D">
      <w:pPr>
        <w:jc w:val="both"/>
        <w:rPr>
          <w:sz w:val="24"/>
          <w:szCs w:val="24"/>
          <w:lang w:val="en-US"/>
        </w:rPr>
      </w:pPr>
    </w:p>
    <w:p w14:paraId="6A4E590C" w14:textId="4B21D489" w:rsidR="009B058D" w:rsidRPr="009B058D" w:rsidRDefault="009B058D" w:rsidP="009B058D">
      <w:pPr>
        <w:jc w:val="both"/>
        <w:rPr>
          <w:sz w:val="24"/>
          <w:szCs w:val="24"/>
          <w:lang w:val="en-US"/>
        </w:rPr>
      </w:pPr>
    </w:p>
    <w:p w14:paraId="5ABB144C" w14:textId="77777777" w:rsidR="009B058D" w:rsidRPr="009B058D" w:rsidRDefault="009B058D" w:rsidP="009B058D">
      <w:pPr>
        <w:numPr>
          <w:ilvl w:val="0"/>
          <w:numId w:val="10"/>
        </w:numPr>
        <w:jc w:val="both"/>
        <w:rPr>
          <w:sz w:val="24"/>
          <w:szCs w:val="24"/>
          <w:lang w:val="en-US"/>
        </w:rPr>
      </w:pPr>
      <w:r w:rsidRPr="009B058D">
        <w:rPr>
          <w:sz w:val="24"/>
          <w:szCs w:val="24"/>
          <w:lang w:val="en-US"/>
        </w:rPr>
        <w:t>Upon realising the extent of the risk, LeMessurier, his firm and the building owner (Citicorp) initiated a covert emergency repair program. </w:t>
      </w:r>
      <w:hyperlink r:id="rId24" w:tgtFrame="_blank" w:history="1">
        <w:r w:rsidRPr="009B058D">
          <w:rPr>
            <w:rStyle w:val="Hyperlink"/>
            <w:sz w:val="24"/>
            <w:szCs w:val="24"/>
            <w:lang w:val="en-US"/>
          </w:rPr>
          <w:t>Duke People+1</w:t>
        </w:r>
      </w:hyperlink>
    </w:p>
    <w:p w14:paraId="560699E0" w14:textId="77777777" w:rsidR="009B058D" w:rsidRPr="009B058D" w:rsidRDefault="009B058D" w:rsidP="009B058D">
      <w:pPr>
        <w:numPr>
          <w:ilvl w:val="0"/>
          <w:numId w:val="10"/>
        </w:numPr>
        <w:jc w:val="both"/>
        <w:rPr>
          <w:sz w:val="24"/>
          <w:szCs w:val="24"/>
          <w:lang w:val="en-US"/>
        </w:rPr>
      </w:pPr>
      <w:r w:rsidRPr="009B058D">
        <w:rPr>
          <w:sz w:val="24"/>
          <w:szCs w:val="24"/>
          <w:lang w:val="en-US"/>
        </w:rPr>
        <w:t>Repairs involved welding steel plates over the bolted joints (over 200 such connections) to restore strength equivalent (or better) than originally designed. </w:t>
      </w:r>
      <w:hyperlink r:id="rId25" w:tgtFrame="_blank" w:history="1">
        <w:r w:rsidRPr="009B058D">
          <w:rPr>
            <w:rStyle w:val="Hyperlink"/>
            <w:sz w:val="24"/>
            <w:szCs w:val="24"/>
            <w:lang w:val="en-US"/>
          </w:rPr>
          <w:t>Duke People+1</w:t>
        </w:r>
      </w:hyperlink>
    </w:p>
    <w:p w14:paraId="564A004A" w14:textId="77777777" w:rsidR="009B058D" w:rsidRPr="009B058D" w:rsidRDefault="009B058D" w:rsidP="009B058D">
      <w:pPr>
        <w:numPr>
          <w:ilvl w:val="0"/>
          <w:numId w:val="10"/>
        </w:numPr>
        <w:jc w:val="both"/>
        <w:rPr>
          <w:sz w:val="24"/>
          <w:szCs w:val="24"/>
          <w:lang w:val="en-US"/>
        </w:rPr>
      </w:pPr>
      <w:r w:rsidRPr="009B058D">
        <w:rPr>
          <w:sz w:val="24"/>
          <w:szCs w:val="24"/>
          <w:lang w:val="en-US"/>
        </w:rPr>
        <w:t>The work was done mostly at night, while the building remained occupied during the day. The public was not informed of the full nature of the risk. </w:t>
      </w:r>
      <w:hyperlink r:id="rId26" w:tgtFrame="_blank" w:history="1">
        <w:r w:rsidRPr="009B058D">
          <w:rPr>
            <w:rStyle w:val="Hyperlink"/>
            <w:sz w:val="24"/>
            <w:szCs w:val="24"/>
            <w:lang w:val="en-US"/>
          </w:rPr>
          <w:t>Wikipedia</w:t>
        </w:r>
      </w:hyperlink>
    </w:p>
    <w:p w14:paraId="6FF9EF85" w14:textId="77777777" w:rsidR="009B058D" w:rsidRPr="009B058D" w:rsidRDefault="009B058D" w:rsidP="009B058D">
      <w:pPr>
        <w:numPr>
          <w:ilvl w:val="0"/>
          <w:numId w:val="10"/>
        </w:numPr>
        <w:jc w:val="both"/>
        <w:rPr>
          <w:sz w:val="24"/>
          <w:szCs w:val="24"/>
          <w:lang w:val="en-US"/>
        </w:rPr>
      </w:pPr>
      <w:r w:rsidRPr="009B058D">
        <w:rPr>
          <w:sz w:val="24"/>
          <w:szCs w:val="24"/>
          <w:lang w:val="en-US"/>
        </w:rPr>
        <w:t>Additional mitigation measures included installing emergency generators for the tuned mass damper, installing strain gauges on critical beams, preparing evacuation plans for the surrounding neighborhood, and closer weather monitoring. </w:t>
      </w:r>
      <w:hyperlink r:id="rId27" w:tgtFrame="_blank" w:history="1">
        <w:r w:rsidRPr="009B058D">
          <w:rPr>
            <w:rStyle w:val="Hyperlink"/>
            <w:sz w:val="24"/>
            <w:szCs w:val="24"/>
            <w:lang w:val="en-US"/>
          </w:rPr>
          <w:t>Dlubal Software+1</w:t>
        </w:r>
      </w:hyperlink>
    </w:p>
    <w:p w14:paraId="6266BCF2" w14:textId="77777777" w:rsidR="009B058D" w:rsidRPr="009B058D" w:rsidRDefault="009B058D" w:rsidP="009B058D">
      <w:pPr>
        <w:numPr>
          <w:ilvl w:val="0"/>
          <w:numId w:val="10"/>
        </w:numPr>
        <w:jc w:val="both"/>
        <w:rPr>
          <w:sz w:val="24"/>
          <w:szCs w:val="24"/>
          <w:lang w:val="en-US"/>
        </w:rPr>
      </w:pPr>
      <w:r w:rsidRPr="009B058D">
        <w:rPr>
          <w:sz w:val="24"/>
          <w:szCs w:val="24"/>
          <w:lang w:val="en-US"/>
        </w:rPr>
        <w:t>The repairs were completed by October 1978. After the fixes the building was estimated to be able to withstand a 200-year storm, and eventually up to a 700-year event. </w:t>
      </w:r>
      <w:hyperlink r:id="rId28" w:tgtFrame="_blank" w:history="1">
        <w:r w:rsidRPr="009B058D">
          <w:rPr>
            <w:rStyle w:val="Hyperlink"/>
            <w:sz w:val="24"/>
            <w:szCs w:val="24"/>
            <w:lang w:val="en-US"/>
          </w:rPr>
          <w:t>Wikipedia+1</w:t>
        </w:r>
      </w:hyperlink>
    </w:p>
    <w:p w14:paraId="1A6B8508" w14:textId="77777777" w:rsidR="009B058D" w:rsidRPr="009B058D" w:rsidRDefault="009B058D" w:rsidP="009B058D">
      <w:pPr>
        <w:jc w:val="both"/>
        <w:rPr>
          <w:sz w:val="24"/>
          <w:szCs w:val="24"/>
          <w:lang w:val="en-US"/>
        </w:rPr>
      </w:pPr>
      <w:r w:rsidRPr="009B058D">
        <w:rPr>
          <w:sz w:val="24"/>
          <w:szCs w:val="24"/>
          <w:lang w:val="en-US"/>
        </w:rPr>
        <w:pict w14:anchorId="15613B24">
          <v:rect id="_x0000_i1609" style="width:0;height:0" o:hralign="center" o:hrstd="t" o:hr="t" fillcolor="#a0a0a0" stroked="f"/>
        </w:pict>
      </w:r>
    </w:p>
    <w:p w14:paraId="29DB33B6" w14:textId="77777777" w:rsidR="009B058D" w:rsidRPr="009B058D" w:rsidRDefault="009B058D" w:rsidP="009B058D">
      <w:pPr>
        <w:jc w:val="both"/>
        <w:rPr>
          <w:b/>
          <w:bCs/>
          <w:sz w:val="24"/>
          <w:szCs w:val="24"/>
          <w:lang w:val="en-US"/>
        </w:rPr>
      </w:pPr>
      <w:r w:rsidRPr="009B058D">
        <w:rPr>
          <w:b/>
          <w:bCs/>
          <w:sz w:val="24"/>
          <w:szCs w:val="24"/>
          <w:lang w:val="en-US"/>
        </w:rPr>
        <w:lastRenderedPageBreak/>
        <w:t>7. Ethical, Legal and Professional Implications</w:t>
      </w:r>
    </w:p>
    <w:p w14:paraId="06E48695" w14:textId="3AB1DD1B" w:rsidR="009B058D" w:rsidRPr="009B058D" w:rsidRDefault="009B058D" w:rsidP="009B058D">
      <w:pPr>
        <w:jc w:val="both"/>
        <w:rPr>
          <w:sz w:val="24"/>
          <w:szCs w:val="24"/>
          <w:lang w:val="en-US"/>
        </w:rPr>
      </w:pPr>
    </w:p>
    <w:p w14:paraId="080BBAA1" w14:textId="6BE35A24" w:rsidR="009B058D" w:rsidRPr="009B058D" w:rsidRDefault="009B058D" w:rsidP="009B058D">
      <w:pPr>
        <w:jc w:val="both"/>
        <w:rPr>
          <w:sz w:val="24"/>
          <w:szCs w:val="24"/>
          <w:lang w:val="en-US"/>
        </w:rPr>
      </w:pPr>
    </w:p>
    <w:p w14:paraId="45036451" w14:textId="77777777" w:rsidR="009B058D" w:rsidRPr="009B058D" w:rsidRDefault="009B058D" w:rsidP="009B058D">
      <w:pPr>
        <w:numPr>
          <w:ilvl w:val="0"/>
          <w:numId w:val="11"/>
        </w:numPr>
        <w:jc w:val="both"/>
        <w:rPr>
          <w:sz w:val="24"/>
          <w:szCs w:val="24"/>
          <w:lang w:val="en-US"/>
        </w:rPr>
      </w:pPr>
      <w:r w:rsidRPr="009B058D">
        <w:rPr>
          <w:sz w:val="24"/>
          <w:szCs w:val="24"/>
          <w:lang w:val="en-US"/>
        </w:rPr>
        <w:t>The case is widely used in engineering ethics courses: it illustrates professional responsibility, the duty to public safety, the necessity to revisit assumptions, and how engineers should respond when they discover a danger. </w:t>
      </w:r>
      <w:hyperlink r:id="rId29" w:tgtFrame="_blank" w:history="1">
        <w:r w:rsidRPr="009B058D">
          <w:rPr>
            <w:rStyle w:val="Hyperlink"/>
            <w:sz w:val="24"/>
            <w:szCs w:val="24"/>
            <w:lang w:val="en-US"/>
          </w:rPr>
          <w:t>Online Ethics+1</w:t>
        </w:r>
      </w:hyperlink>
    </w:p>
    <w:p w14:paraId="2E2C4940" w14:textId="77777777" w:rsidR="009B058D" w:rsidRPr="009B058D" w:rsidRDefault="009B058D" w:rsidP="009B058D">
      <w:pPr>
        <w:numPr>
          <w:ilvl w:val="0"/>
          <w:numId w:val="11"/>
        </w:numPr>
        <w:jc w:val="both"/>
        <w:rPr>
          <w:sz w:val="24"/>
          <w:szCs w:val="24"/>
          <w:lang w:val="en-US"/>
        </w:rPr>
      </w:pPr>
      <w:r w:rsidRPr="009B058D">
        <w:rPr>
          <w:sz w:val="24"/>
          <w:szCs w:val="24"/>
          <w:lang w:val="en-US"/>
        </w:rPr>
        <w:t>Some key ethical questions: Should the building occupants and public have been informed? Was it acceptable that the issue was handled quietly rather than disclosed? What professional liability did the engineer have? </w:t>
      </w:r>
      <w:hyperlink r:id="rId30" w:tgtFrame="_blank" w:history="1">
        <w:r w:rsidRPr="009B058D">
          <w:rPr>
            <w:rStyle w:val="Hyperlink"/>
            <w:sz w:val="24"/>
            <w:szCs w:val="24"/>
            <w:lang w:val="en-US"/>
          </w:rPr>
          <w:t>Dlubal Software</w:t>
        </w:r>
      </w:hyperlink>
    </w:p>
    <w:p w14:paraId="7402DD36" w14:textId="77777777" w:rsidR="009B058D" w:rsidRPr="009B058D" w:rsidRDefault="009B058D" w:rsidP="009B058D">
      <w:pPr>
        <w:numPr>
          <w:ilvl w:val="0"/>
          <w:numId w:val="11"/>
        </w:numPr>
        <w:jc w:val="both"/>
        <w:rPr>
          <w:sz w:val="24"/>
          <w:szCs w:val="24"/>
          <w:lang w:val="en-US"/>
        </w:rPr>
      </w:pPr>
      <w:r w:rsidRPr="009B058D">
        <w:rPr>
          <w:sz w:val="24"/>
          <w:szCs w:val="24"/>
          <w:lang w:val="en-US"/>
        </w:rPr>
        <w:t>Legally and contractually, the owner (Citicorp) and the designer/engineer faced potential liability. Ultimately, Citicorp sought indemnification for repair costs from LeMessurier’s firm and the architect’s firm, though litigation was avoided. </w:t>
      </w:r>
      <w:hyperlink r:id="rId31" w:tgtFrame="_blank" w:history="1">
        <w:r w:rsidRPr="009B058D">
          <w:rPr>
            <w:rStyle w:val="Hyperlink"/>
            <w:sz w:val="24"/>
            <w:szCs w:val="24"/>
            <w:lang w:val="en-US"/>
          </w:rPr>
          <w:t>Duke People</w:t>
        </w:r>
      </w:hyperlink>
    </w:p>
    <w:p w14:paraId="2CED4CF7" w14:textId="77777777" w:rsidR="009B058D" w:rsidRPr="009B058D" w:rsidRDefault="009B058D" w:rsidP="009B058D">
      <w:pPr>
        <w:numPr>
          <w:ilvl w:val="0"/>
          <w:numId w:val="11"/>
        </w:numPr>
        <w:jc w:val="both"/>
        <w:rPr>
          <w:sz w:val="24"/>
          <w:szCs w:val="24"/>
          <w:lang w:val="en-US"/>
        </w:rPr>
      </w:pPr>
      <w:r w:rsidRPr="009B058D">
        <w:rPr>
          <w:sz w:val="24"/>
          <w:szCs w:val="24"/>
          <w:lang w:val="en-US"/>
        </w:rPr>
        <w:t>The case also shows how insurance (professional liability / structural failure risk) played a role in the remediation, though financial costs were modest relative to potential losses. </w:t>
      </w:r>
      <w:hyperlink r:id="rId32" w:tgtFrame="_blank" w:history="1">
        <w:r w:rsidRPr="009B058D">
          <w:rPr>
            <w:rStyle w:val="Hyperlink"/>
            <w:sz w:val="24"/>
            <w:szCs w:val="24"/>
            <w:lang w:val="en-US"/>
          </w:rPr>
          <w:t>Risk &amp; Insurance Education Alliance</w:t>
        </w:r>
      </w:hyperlink>
    </w:p>
    <w:p w14:paraId="26AE6C62" w14:textId="77777777" w:rsidR="009B058D" w:rsidRPr="009B058D" w:rsidRDefault="009B058D" w:rsidP="009B058D">
      <w:pPr>
        <w:numPr>
          <w:ilvl w:val="0"/>
          <w:numId w:val="11"/>
        </w:numPr>
        <w:jc w:val="both"/>
        <w:rPr>
          <w:sz w:val="24"/>
          <w:szCs w:val="24"/>
          <w:lang w:val="en-US"/>
        </w:rPr>
      </w:pPr>
      <w:r w:rsidRPr="009B058D">
        <w:rPr>
          <w:sz w:val="24"/>
          <w:szCs w:val="24"/>
          <w:lang w:val="en-US"/>
        </w:rPr>
        <w:t>The professional reputation of LeMessurier emerged not ruined but enhanced: his decision to act when the flaw was discovered is cited as exemplary. </w:t>
      </w:r>
      <w:hyperlink r:id="rId33" w:tgtFrame="_blank" w:history="1">
        <w:r w:rsidRPr="009B058D">
          <w:rPr>
            <w:rStyle w:val="Hyperlink"/>
            <w:sz w:val="24"/>
            <w:szCs w:val="24"/>
            <w:lang w:val="en-US"/>
          </w:rPr>
          <w:t>Online Ethics</w:t>
        </w:r>
      </w:hyperlink>
    </w:p>
    <w:p w14:paraId="0C80BE7A" w14:textId="77777777" w:rsidR="009B058D" w:rsidRPr="009B058D" w:rsidRDefault="009B058D" w:rsidP="009B058D">
      <w:pPr>
        <w:jc w:val="both"/>
        <w:rPr>
          <w:sz w:val="24"/>
          <w:szCs w:val="24"/>
          <w:lang w:val="en-US"/>
        </w:rPr>
      </w:pPr>
      <w:r w:rsidRPr="009B058D">
        <w:rPr>
          <w:sz w:val="24"/>
          <w:szCs w:val="24"/>
          <w:lang w:val="en-US"/>
        </w:rPr>
        <w:pict w14:anchorId="535B681F">
          <v:rect id="_x0000_i1613" style="width:0;height:0" o:hralign="center" o:hrstd="t" o:hr="t" fillcolor="#a0a0a0" stroked="f"/>
        </w:pict>
      </w:r>
    </w:p>
    <w:p w14:paraId="4217FDC0" w14:textId="77777777" w:rsidR="009B058D" w:rsidRPr="009B058D" w:rsidRDefault="009B058D" w:rsidP="009B058D">
      <w:pPr>
        <w:jc w:val="both"/>
        <w:rPr>
          <w:b/>
          <w:bCs/>
          <w:sz w:val="24"/>
          <w:szCs w:val="24"/>
          <w:lang w:val="en-US"/>
        </w:rPr>
      </w:pPr>
      <w:r w:rsidRPr="009B058D">
        <w:rPr>
          <w:b/>
          <w:bCs/>
          <w:sz w:val="24"/>
          <w:szCs w:val="24"/>
          <w:lang w:val="en-US"/>
        </w:rPr>
        <w:t>8. Outcomes and Legacy</w:t>
      </w:r>
    </w:p>
    <w:p w14:paraId="2D6E87C4" w14:textId="71CF59B8" w:rsidR="009B058D" w:rsidRPr="009B058D" w:rsidRDefault="009B058D" w:rsidP="009B058D">
      <w:pPr>
        <w:jc w:val="both"/>
        <w:rPr>
          <w:sz w:val="24"/>
          <w:szCs w:val="24"/>
          <w:lang w:val="en-US"/>
        </w:rPr>
      </w:pPr>
    </w:p>
    <w:p w14:paraId="3B17B9A3" w14:textId="46ECD7B9" w:rsidR="009B058D" w:rsidRPr="009B058D" w:rsidRDefault="009B058D" w:rsidP="009B058D">
      <w:pPr>
        <w:jc w:val="both"/>
        <w:rPr>
          <w:sz w:val="24"/>
          <w:szCs w:val="24"/>
          <w:lang w:val="en-US"/>
        </w:rPr>
      </w:pPr>
    </w:p>
    <w:p w14:paraId="18396C52" w14:textId="0C061722" w:rsidR="009B058D" w:rsidRPr="009B058D" w:rsidRDefault="009B058D" w:rsidP="009B058D">
      <w:pPr>
        <w:jc w:val="both"/>
        <w:rPr>
          <w:sz w:val="24"/>
          <w:szCs w:val="24"/>
          <w:lang w:val="en-US"/>
        </w:rPr>
      </w:pPr>
    </w:p>
    <w:p w14:paraId="6DFD51EA" w14:textId="77777777" w:rsidR="009B058D" w:rsidRPr="009B058D" w:rsidRDefault="009B058D" w:rsidP="009B058D">
      <w:pPr>
        <w:numPr>
          <w:ilvl w:val="0"/>
          <w:numId w:val="12"/>
        </w:numPr>
        <w:jc w:val="both"/>
        <w:rPr>
          <w:sz w:val="24"/>
          <w:szCs w:val="24"/>
          <w:lang w:val="en-US"/>
        </w:rPr>
      </w:pPr>
      <w:r w:rsidRPr="009B058D">
        <w:rPr>
          <w:sz w:val="24"/>
          <w:szCs w:val="24"/>
          <w:lang w:val="en-US"/>
        </w:rPr>
        <w:t>The Citicorp/Citigroup Center remains a prominent Manhattan skyscraper and architectural icon. The structural repairs have held; there has been no known structural failure. </w:t>
      </w:r>
      <w:hyperlink r:id="rId34" w:tgtFrame="_blank" w:history="1">
        <w:r w:rsidRPr="009B058D">
          <w:rPr>
            <w:rStyle w:val="Hyperlink"/>
            <w:sz w:val="24"/>
            <w:szCs w:val="24"/>
            <w:lang w:val="en-US"/>
          </w:rPr>
          <w:t>Wikipedia+1</w:t>
        </w:r>
      </w:hyperlink>
    </w:p>
    <w:p w14:paraId="2A3C6CD4" w14:textId="77777777" w:rsidR="009B058D" w:rsidRPr="009B058D" w:rsidRDefault="009B058D" w:rsidP="009B058D">
      <w:pPr>
        <w:numPr>
          <w:ilvl w:val="0"/>
          <w:numId w:val="12"/>
        </w:numPr>
        <w:jc w:val="both"/>
        <w:rPr>
          <w:sz w:val="24"/>
          <w:szCs w:val="24"/>
          <w:lang w:val="en-US"/>
        </w:rPr>
      </w:pPr>
      <w:r w:rsidRPr="009B058D">
        <w:rPr>
          <w:sz w:val="24"/>
          <w:szCs w:val="24"/>
          <w:lang w:val="en-US"/>
        </w:rPr>
        <w:t>The episode has become a standard case study in engineering curricula, risk management, architectural history, and ethics of professional practice. </w:t>
      </w:r>
      <w:hyperlink r:id="rId35" w:tgtFrame="_blank" w:history="1">
        <w:r w:rsidRPr="009B058D">
          <w:rPr>
            <w:rStyle w:val="Hyperlink"/>
            <w:sz w:val="24"/>
            <w:szCs w:val="24"/>
            <w:lang w:val="en-US"/>
          </w:rPr>
          <w:t>Wikipedia+1</w:t>
        </w:r>
      </w:hyperlink>
    </w:p>
    <w:p w14:paraId="6B27CD5E" w14:textId="77777777" w:rsidR="009B058D" w:rsidRPr="009B058D" w:rsidRDefault="009B058D" w:rsidP="009B058D">
      <w:pPr>
        <w:numPr>
          <w:ilvl w:val="0"/>
          <w:numId w:val="12"/>
        </w:numPr>
        <w:jc w:val="both"/>
        <w:rPr>
          <w:sz w:val="24"/>
          <w:szCs w:val="24"/>
          <w:lang w:val="en-US"/>
        </w:rPr>
      </w:pPr>
      <w:r w:rsidRPr="009B058D">
        <w:rPr>
          <w:sz w:val="24"/>
          <w:szCs w:val="24"/>
          <w:lang w:val="en-US"/>
        </w:rPr>
        <w:t>Re-analysis with modern techniques (e.g., by the National Institute of Standards and Technology, among others) suggests that the risk may have been somewhat over-estimated originally (i.e., quartering wind loads might not have been as high as first thought) but the principle remains: a near-miss that should not be ignored. </w:t>
      </w:r>
      <w:hyperlink r:id="rId36" w:tgtFrame="_blank" w:history="1">
        <w:r w:rsidRPr="009B058D">
          <w:rPr>
            <w:rStyle w:val="Hyperlink"/>
            <w:sz w:val="24"/>
            <w:szCs w:val="24"/>
            <w:lang w:val="en-US"/>
          </w:rPr>
          <w:t>Wikipedia</w:t>
        </w:r>
      </w:hyperlink>
    </w:p>
    <w:p w14:paraId="70FE6C82" w14:textId="77777777" w:rsidR="009B058D" w:rsidRPr="009B058D" w:rsidRDefault="009B058D" w:rsidP="009B058D">
      <w:pPr>
        <w:numPr>
          <w:ilvl w:val="0"/>
          <w:numId w:val="12"/>
        </w:numPr>
        <w:jc w:val="both"/>
        <w:rPr>
          <w:sz w:val="24"/>
          <w:szCs w:val="24"/>
          <w:lang w:val="en-US"/>
        </w:rPr>
      </w:pPr>
      <w:r w:rsidRPr="009B058D">
        <w:rPr>
          <w:sz w:val="24"/>
          <w:szCs w:val="24"/>
          <w:lang w:val="en-US"/>
        </w:rPr>
        <w:t>The building’s future and its structural innovations influenced tall-building design, bracing systems, and attention to non-standard load cases (such as wind from unusual directions, joint substitution, construction changes, etc.).</w:t>
      </w:r>
    </w:p>
    <w:p w14:paraId="6B959DA7" w14:textId="77777777" w:rsidR="009B058D" w:rsidRPr="009B058D" w:rsidRDefault="009B058D" w:rsidP="009B058D">
      <w:pPr>
        <w:jc w:val="both"/>
        <w:rPr>
          <w:sz w:val="24"/>
          <w:szCs w:val="24"/>
          <w:lang w:val="en-US"/>
        </w:rPr>
      </w:pPr>
      <w:r w:rsidRPr="009B058D">
        <w:rPr>
          <w:sz w:val="24"/>
          <w:szCs w:val="24"/>
          <w:lang w:val="en-US"/>
        </w:rPr>
        <w:pict w14:anchorId="56767F4B">
          <v:rect id="_x0000_i1617" style="width:0;height:0" o:hralign="center" o:hrstd="t" o:hr="t" fillcolor="#a0a0a0" stroked="f"/>
        </w:pict>
      </w:r>
    </w:p>
    <w:p w14:paraId="47D0FD61" w14:textId="77777777" w:rsidR="009B058D" w:rsidRDefault="009B058D" w:rsidP="009B058D">
      <w:pPr>
        <w:jc w:val="both"/>
        <w:rPr>
          <w:b/>
          <w:bCs/>
          <w:sz w:val="24"/>
          <w:szCs w:val="24"/>
          <w:lang w:val="en-US"/>
        </w:rPr>
      </w:pPr>
    </w:p>
    <w:p w14:paraId="730ACA2A" w14:textId="77777777" w:rsidR="009B058D" w:rsidRDefault="009B058D" w:rsidP="009B058D">
      <w:pPr>
        <w:jc w:val="both"/>
        <w:rPr>
          <w:b/>
          <w:bCs/>
          <w:sz w:val="24"/>
          <w:szCs w:val="24"/>
          <w:lang w:val="en-US"/>
        </w:rPr>
      </w:pPr>
    </w:p>
    <w:p w14:paraId="4AA48A3D" w14:textId="77777777" w:rsidR="009B058D" w:rsidRDefault="009B058D" w:rsidP="009B058D">
      <w:pPr>
        <w:jc w:val="both"/>
        <w:rPr>
          <w:b/>
          <w:bCs/>
          <w:sz w:val="24"/>
          <w:szCs w:val="24"/>
          <w:lang w:val="en-US"/>
        </w:rPr>
      </w:pPr>
    </w:p>
    <w:p w14:paraId="65CDF532" w14:textId="7FFA9149" w:rsidR="009B058D" w:rsidRPr="009B058D" w:rsidRDefault="009B058D" w:rsidP="009B058D">
      <w:pPr>
        <w:jc w:val="both"/>
        <w:rPr>
          <w:b/>
          <w:bCs/>
          <w:sz w:val="24"/>
          <w:szCs w:val="24"/>
          <w:lang w:val="en-US"/>
        </w:rPr>
      </w:pPr>
      <w:r w:rsidRPr="009B058D">
        <w:rPr>
          <w:b/>
          <w:bCs/>
          <w:sz w:val="24"/>
          <w:szCs w:val="24"/>
          <w:lang w:val="en-US"/>
        </w:rPr>
        <w:t>9. Lessons Learned for Engineering &amp; Risk Management</w:t>
      </w:r>
    </w:p>
    <w:p w14:paraId="29445DCD" w14:textId="77777777" w:rsidR="009B058D" w:rsidRPr="009B058D" w:rsidRDefault="009B058D" w:rsidP="009B058D">
      <w:pPr>
        <w:numPr>
          <w:ilvl w:val="0"/>
          <w:numId w:val="13"/>
        </w:numPr>
        <w:jc w:val="both"/>
        <w:rPr>
          <w:sz w:val="24"/>
          <w:szCs w:val="24"/>
          <w:lang w:val="en-US"/>
        </w:rPr>
      </w:pPr>
      <w:r w:rsidRPr="009B058D">
        <w:rPr>
          <w:b/>
          <w:bCs/>
          <w:sz w:val="24"/>
          <w:szCs w:val="24"/>
          <w:lang w:val="en-US"/>
        </w:rPr>
        <w:t>Don’t ignore non-standard load cases.</w:t>
      </w:r>
      <w:r w:rsidRPr="009B058D">
        <w:rPr>
          <w:sz w:val="24"/>
          <w:szCs w:val="24"/>
          <w:lang w:val="en-US"/>
        </w:rPr>
        <w:t> A design may satisfy code for normal/worst-case typical loads (e.g., perpendicular wind), but unusual or less-studied load cases (e.g., diagonal winds) can expose vulnerability.</w:t>
      </w:r>
    </w:p>
    <w:p w14:paraId="3ECF44C2" w14:textId="77777777" w:rsidR="009B058D" w:rsidRPr="009B058D" w:rsidRDefault="009B058D" w:rsidP="009B058D">
      <w:pPr>
        <w:numPr>
          <w:ilvl w:val="0"/>
          <w:numId w:val="13"/>
        </w:numPr>
        <w:jc w:val="both"/>
        <w:rPr>
          <w:sz w:val="24"/>
          <w:szCs w:val="24"/>
          <w:lang w:val="en-US"/>
        </w:rPr>
      </w:pPr>
      <w:r w:rsidRPr="009B058D">
        <w:rPr>
          <w:b/>
          <w:bCs/>
          <w:sz w:val="24"/>
          <w:szCs w:val="24"/>
          <w:lang w:val="en-US"/>
        </w:rPr>
        <w:t>Change during construction equals risk.</w:t>
      </w:r>
      <w:r w:rsidRPr="009B058D">
        <w:rPr>
          <w:sz w:val="24"/>
          <w:szCs w:val="24"/>
          <w:lang w:val="en-US"/>
        </w:rPr>
        <w:t> The substitution of bolted joints for welded ones, without full re-analysis, introduced vulnerability; changes must trigger full review.</w:t>
      </w:r>
    </w:p>
    <w:p w14:paraId="308DA4AA" w14:textId="77777777" w:rsidR="009B058D" w:rsidRPr="009B058D" w:rsidRDefault="009B058D" w:rsidP="009B058D">
      <w:pPr>
        <w:numPr>
          <w:ilvl w:val="0"/>
          <w:numId w:val="13"/>
        </w:numPr>
        <w:jc w:val="both"/>
        <w:rPr>
          <w:sz w:val="24"/>
          <w:szCs w:val="24"/>
          <w:lang w:val="en-US"/>
        </w:rPr>
      </w:pPr>
      <w:r w:rsidRPr="009B058D">
        <w:rPr>
          <w:b/>
          <w:bCs/>
          <w:sz w:val="24"/>
          <w:szCs w:val="24"/>
          <w:lang w:val="en-US"/>
        </w:rPr>
        <w:t>Maintain margin of safety &amp; clarity of assumptions.</w:t>
      </w:r>
      <w:r w:rsidRPr="009B058D">
        <w:rPr>
          <w:sz w:val="24"/>
          <w:szCs w:val="24"/>
          <w:lang w:val="en-US"/>
        </w:rPr>
        <w:t> In this case, the load increase (≈ 40%) and joint reduction combined to reduce safety margin dangerously.</w:t>
      </w:r>
    </w:p>
    <w:p w14:paraId="44F2CD99" w14:textId="77777777" w:rsidR="009B058D" w:rsidRPr="009B058D" w:rsidRDefault="009B058D" w:rsidP="009B058D">
      <w:pPr>
        <w:numPr>
          <w:ilvl w:val="0"/>
          <w:numId w:val="13"/>
        </w:numPr>
        <w:jc w:val="both"/>
        <w:rPr>
          <w:sz w:val="24"/>
          <w:szCs w:val="24"/>
          <w:lang w:val="en-US"/>
        </w:rPr>
      </w:pPr>
      <w:r w:rsidRPr="009B058D">
        <w:rPr>
          <w:b/>
          <w:bCs/>
          <w:sz w:val="24"/>
          <w:szCs w:val="24"/>
          <w:lang w:val="en-US"/>
        </w:rPr>
        <w:t>Communication and transparency.</w:t>
      </w:r>
      <w:r w:rsidRPr="009B058D">
        <w:rPr>
          <w:sz w:val="24"/>
          <w:szCs w:val="24"/>
          <w:lang w:val="en-US"/>
        </w:rPr>
        <w:t> When a risk is identified, engineers must weigh professional responsibility, public safety, client interests and legal obligations. Sometimes the right choice is not the easiest.</w:t>
      </w:r>
    </w:p>
    <w:p w14:paraId="31C63722" w14:textId="77777777" w:rsidR="009B058D" w:rsidRPr="009B058D" w:rsidRDefault="009B058D" w:rsidP="009B058D">
      <w:pPr>
        <w:numPr>
          <w:ilvl w:val="0"/>
          <w:numId w:val="13"/>
        </w:numPr>
        <w:jc w:val="both"/>
        <w:rPr>
          <w:sz w:val="24"/>
          <w:szCs w:val="24"/>
          <w:lang w:val="en-US"/>
        </w:rPr>
      </w:pPr>
      <w:r w:rsidRPr="009B058D">
        <w:rPr>
          <w:b/>
          <w:bCs/>
          <w:sz w:val="24"/>
          <w:szCs w:val="24"/>
          <w:lang w:val="en-US"/>
        </w:rPr>
        <w:t>Monitoring, readiness for remediation.</w:t>
      </w:r>
      <w:r w:rsidRPr="009B058D">
        <w:rPr>
          <w:sz w:val="24"/>
          <w:szCs w:val="24"/>
          <w:lang w:val="en-US"/>
        </w:rPr>
        <w:t> The building’s response included strain gauges, emergency power for the damper, readiness for evacuation—all of which helped manage risk while repairs were in progress.</w:t>
      </w:r>
    </w:p>
    <w:p w14:paraId="1C3DD0F2" w14:textId="77777777" w:rsidR="009B058D" w:rsidRPr="009B058D" w:rsidRDefault="009B058D" w:rsidP="009B058D">
      <w:pPr>
        <w:numPr>
          <w:ilvl w:val="0"/>
          <w:numId w:val="13"/>
        </w:numPr>
        <w:jc w:val="both"/>
        <w:rPr>
          <w:sz w:val="24"/>
          <w:szCs w:val="24"/>
          <w:lang w:val="en-US"/>
        </w:rPr>
      </w:pPr>
      <w:r w:rsidRPr="009B058D">
        <w:rPr>
          <w:b/>
          <w:bCs/>
          <w:sz w:val="24"/>
          <w:szCs w:val="24"/>
          <w:lang w:val="en-US"/>
        </w:rPr>
        <w:t>Integration of design, construction, and operations.</w:t>
      </w:r>
      <w:r w:rsidRPr="009B058D">
        <w:rPr>
          <w:sz w:val="24"/>
          <w:szCs w:val="24"/>
          <w:lang w:val="en-US"/>
        </w:rPr>
        <w:t> Even an elegant design can fail if construction substitutions, operational contingencies (power failure, etc.) and maintenance are not addressed.</w:t>
      </w:r>
    </w:p>
    <w:p w14:paraId="0A85933B" w14:textId="77777777" w:rsidR="009B058D" w:rsidRPr="009B058D" w:rsidRDefault="009B058D" w:rsidP="009B058D">
      <w:pPr>
        <w:numPr>
          <w:ilvl w:val="0"/>
          <w:numId w:val="13"/>
        </w:numPr>
        <w:jc w:val="both"/>
        <w:rPr>
          <w:sz w:val="24"/>
          <w:szCs w:val="24"/>
          <w:lang w:val="en-US"/>
        </w:rPr>
      </w:pPr>
      <w:r w:rsidRPr="009B058D">
        <w:rPr>
          <w:b/>
          <w:bCs/>
          <w:sz w:val="24"/>
          <w:szCs w:val="24"/>
          <w:lang w:val="en-US"/>
        </w:rPr>
        <w:t>Role of insurance and risk financing.</w:t>
      </w:r>
      <w:r w:rsidRPr="009B058D">
        <w:rPr>
          <w:sz w:val="24"/>
          <w:szCs w:val="24"/>
          <w:lang w:val="en-US"/>
        </w:rPr>
        <w:t> The involvement of professional liability insurance allowed the repairs to be carried out under acceptable terms.</w:t>
      </w:r>
    </w:p>
    <w:p w14:paraId="416E0491" w14:textId="77777777" w:rsidR="009B058D" w:rsidRPr="009B058D" w:rsidRDefault="009B058D" w:rsidP="009B058D">
      <w:pPr>
        <w:numPr>
          <w:ilvl w:val="0"/>
          <w:numId w:val="13"/>
        </w:numPr>
        <w:jc w:val="both"/>
        <w:rPr>
          <w:sz w:val="24"/>
          <w:szCs w:val="24"/>
          <w:lang w:val="en-US"/>
        </w:rPr>
      </w:pPr>
      <w:r w:rsidRPr="009B058D">
        <w:rPr>
          <w:b/>
          <w:bCs/>
          <w:sz w:val="24"/>
          <w:szCs w:val="24"/>
          <w:lang w:val="en-US"/>
        </w:rPr>
        <w:t>Professional ethics matter.</w:t>
      </w:r>
      <w:r w:rsidRPr="009B058D">
        <w:rPr>
          <w:sz w:val="24"/>
          <w:szCs w:val="24"/>
          <w:lang w:val="en-US"/>
        </w:rPr>
        <w:t> Engineers owe a duty to society beyond the client; in this case, LeMessurier acted in the interest of public safety, despite personal and professional risk.</w:t>
      </w:r>
    </w:p>
    <w:p w14:paraId="34B2091E" w14:textId="77777777" w:rsidR="009B058D" w:rsidRPr="009B058D" w:rsidRDefault="009B058D" w:rsidP="009B058D">
      <w:pPr>
        <w:numPr>
          <w:ilvl w:val="0"/>
          <w:numId w:val="13"/>
        </w:numPr>
        <w:jc w:val="both"/>
        <w:rPr>
          <w:sz w:val="24"/>
          <w:szCs w:val="24"/>
          <w:lang w:val="en-US"/>
        </w:rPr>
      </w:pPr>
      <w:r w:rsidRPr="009B058D">
        <w:rPr>
          <w:b/>
          <w:bCs/>
          <w:sz w:val="24"/>
          <w:szCs w:val="24"/>
          <w:lang w:val="en-US"/>
        </w:rPr>
        <w:t>Learning from near-misses.</w:t>
      </w:r>
      <w:r w:rsidRPr="009B058D">
        <w:rPr>
          <w:sz w:val="24"/>
          <w:szCs w:val="24"/>
          <w:lang w:val="en-US"/>
        </w:rPr>
        <w:t> Just because a failure did not occur doesn’t mean the risk was negligible. Near-miss events deserve full scrutiny.</w:t>
      </w:r>
    </w:p>
    <w:p w14:paraId="2D148098" w14:textId="77777777" w:rsidR="009B058D" w:rsidRPr="009B058D" w:rsidRDefault="009B058D" w:rsidP="009B058D">
      <w:pPr>
        <w:jc w:val="both"/>
        <w:rPr>
          <w:sz w:val="24"/>
          <w:szCs w:val="24"/>
          <w:lang w:val="en-US"/>
        </w:rPr>
      </w:pPr>
      <w:r w:rsidRPr="009B058D">
        <w:rPr>
          <w:sz w:val="24"/>
          <w:szCs w:val="24"/>
          <w:lang w:val="en-US"/>
        </w:rPr>
        <w:pict w14:anchorId="1AFE3226">
          <v:rect id="_x0000_i1618" style="width:0;height:0" o:hralign="center" o:hrstd="t" o:hr="t" fillcolor="#a0a0a0" stroked="f"/>
        </w:pict>
      </w:r>
    </w:p>
    <w:p w14:paraId="0695FFA5" w14:textId="77777777" w:rsidR="009B058D" w:rsidRPr="009B058D" w:rsidRDefault="009B058D" w:rsidP="009B058D">
      <w:pPr>
        <w:jc w:val="both"/>
        <w:rPr>
          <w:b/>
          <w:bCs/>
          <w:sz w:val="24"/>
          <w:szCs w:val="24"/>
          <w:lang w:val="en-US"/>
        </w:rPr>
      </w:pPr>
      <w:r w:rsidRPr="009B058D">
        <w:rPr>
          <w:b/>
          <w:bCs/>
          <w:sz w:val="24"/>
          <w:szCs w:val="24"/>
          <w:lang w:val="en-US"/>
        </w:rPr>
        <w:t>10. Conclusion</w:t>
      </w:r>
    </w:p>
    <w:p w14:paraId="437D07CD" w14:textId="77777777" w:rsidR="009B058D" w:rsidRPr="009B058D" w:rsidRDefault="009B058D" w:rsidP="009B058D">
      <w:pPr>
        <w:jc w:val="both"/>
        <w:rPr>
          <w:sz w:val="24"/>
          <w:szCs w:val="24"/>
          <w:lang w:val="en-US"/>
        </w:rPr>
      </w:pPr>
      <w:r w:rsidRPr="009B058D">
        <w:rPr>
          <w:sz w:val="24"/>
          <w:szCs w:val="24"/>
          <w:lang w:val="en-US"/>
        </w:rPr>
        <w:t>The Citicorp Center crisis is a remarkable example of engineering, ethics, risk management and crisis response intersecting in a high-stakes, real-world setting. A building that symbolised innovation in skyscraper design was also, beneath the surface, one that contained a potentially serious flaw. Thanks to alertness, re-analysis, rapid clandestine repairs and the cooperation of design and ownership teams, a disaster was averted.</w:t>
      </w:r>
    </w:p>
    <w:p w14:paraId="2EA1196B" w14:textId="77777777" w:rsidR="009B058D" w:rsidRPr="009B058D" w:rsidRDefault="009B058D" w:rsidP="009B058D">
      <w:pPr>
        <w:jc w:val="both"/>
        <w:rPr>
          <w:sz w:val="24"/>
          <w:szCs w:val="24"/>
          <w:lang w:val="en-US"/>
        </w:rPr>
      </w:pPr>
      <w:r w:rsidRPr="009B058D">
        <w:rPr>
          <w:sz w:val="24"/>
          <w:szCs w:val="24"/>
          <w:lang w:val="en-US"/>
        </w:rPr>
        <w:lastRenderedPageBreak/>
        <w:t>The event reminds us that engineering success is not just about creating bold forms but understanding loads, connections, changes, operations and the many “what-if” scenarios that can turn design innovation into vulnerability. It also reminds professionals of their broader responsibility—to public safety, to ethical conduct, and to seeing around corners in complex systems.</w:t>
      </w:r>
    </w:p>
    <w:p w14:paraId="7558DE75" w14:textId="77777777" w:rsidR="009B058D" w:rsidRPr="009B058D" w:rsidRDefault="009B058D" w:rsidP="009B058D">
      <w:pPr>
        <w:jc w:val="both"/>
        <w:rPr>
          <w:sz w:val="24"/>
          <w:szCs w:val="24"/>
          <w:lang w:val="en-US"/>
        </w:rPr>
      </w:pPr>
      <w:r w:rsidRPr="009B058D">
        <w:rPr>
          <w:sz w:val="24"/>
          <w:szCs w:val="24"/>
          <w:lang w:val="en-US"/>
        </w:rPr>
        <w:t>Going forward, designers, contractors, owners and regulators must pay heed to the lessons of Citicorp Center: recognise the unexpected, monitor for changes, build in robustness, and be ready to act. Much engineering takes place unseen; so too should the vigilance and integrity which safeguard the built environment.</w:t>
      </w:r>
    </w:p>
    <w:p w14:paraId="6D5B1E5F" w14:textId="77777777" w:rsidR="009B058D" w:rsidRPr="009B058D" w:rsidRDefault="009B058D" w:rsidP="009B058D">
      <w:pPr>
        <w:jc w:val="both"/>
        <w:rPr>
          <w:sz w:val="24"/>
          <w:szCs w:val="24"/>
          <w:lang w:val="en-US"/>
        </w:rPr>
      </w:pPr>
      <w:r w:rsidRPr="009B058D">
        <w:rPr>
          <w:sz w:val="24"/>
          <w:szCs w:val="24"/>
          <w:lang w:val="en-US"/>
        </w:rPr>
        <w:pict w14:anchorId="24D68BC3">
          <v:rect id="_x0000_i1619" style="width:0;height:0" o:hralign="center" o:hrstd="t" o:hr="t" fillcolor="#a0a0a0" stroked="f"/>
        </w:pict>
      </w:r>
    </w:p>
    <w:p w14:paraId="440C4C6D" w14:textId="77777777" w:rsidR="009B058D" w:rsidRDefault="009B058D" w:rsidP="009B058D">
      <w:pPr>
        <w:jc w:val="both"/>
        <w:rPr>
          <w:b/>
          <w:bCs/>
          <w:sz w:val="24"/>
          <w:szCs w:val="24"/>
          <w:lang w:val="en-US"/>
        </w:rPr>
      </w:pPr>
    </w:p>
    <w:p w14:paraId="7FC015FE" w14:textId="77777777" w:rsidR="009B058D" w:rsidRDefault="009B058D" w:rsidP="009B058D">
      <w:pPr>
        <w:jc w:val="both"/>
        <w:rPr>
          <w:b/>
          <w:bCs/>
          <w:sz w:val="24"/>
          <w:szCs w:val="24"/>
          <w:lang w:val="en-US"/>
        </w:rPr>
      </w:pPr>
    </w:p>
    <w:p w14:paraId="5BA903B1" w14:textId="26DCCD63" w:rsidR="009B058D" w:rsidRPr="009B058D" w:rsidRDefault="009B058D" w:rsidP="009B058D">
      <w:pPr>
        <w:jc w:val="both"/>
        <w:rPr>
          <w:b/>
          <w:bCs/>
          <w:sz w:val="24"/>
          <w:szCs w:val="24"/>
          <w:lang w:val="en-US"/>
        </w:rPr>
      </w:pPr>
      <w:r w:rsidRPr="009B058D">
        <w:rPr>
          <w:b/>
          <w:bCs/>
          <w:sz w:val="24"/>
          <w:szCs w:val="24"/>
          <w:lang w:val="en-US"/>
        </w:rPr>
        <w:t>11. References</w:t>
      </w:r>
    </w:p>
    <w:p w14:paraId="7DFF8DC4" w14:textId="77777777" w:rsidR="009B058D" w:rsidRPr="009B058D" w:rsidRDefault="009B058D" w:rsidP="009B058D">
      <w:pPr>
        <w:numPr>
          <w:ilvl w:val="0"/>
          <w:numId w:val="14"/>
        </w:numPr>
        <w:jc w:val="both"/>
        <w:rPr>
          <w:sz w:val="24"/>
          <w:szCs w:val="24"/>
          <w:lang w:val="en-US"/>
        </w:rPr>
      </w:pPr>
      <w:r w:rsidRPr="009B058D">
        <w:rPr>
          <w:sz w:val="24"/>
          <w:szCs w:val="24"/>
          <w:lang w:val="en-US"/>
        </w:rPr>
        <w:t>“Citicorp Center engineering crisis (1978…)” Wikipedia. </w:t>
      </w:r>
      <w:hyperlink r:id="rId37" w:tgtFrame="_blank" w:history="1">
        <w:r w:rsidRPr="009B058D">
          <w:rPr>
            <w:rStyle w:val="Hyperlink"/>
            <w:sz w:val="24"/>
            <w:szCs w:val="24"/>
            <w:lang w:val="en-US"/>
          </w:rPr>
          <w:t>Wikipedia+2Wikipedia+2</w:t>
        </w:r>
      </w:hyperlink>
    </w:p>
    <w:p w14:paraId="4FEE8AB1" w14:textId="77777777" w:rsidR="009B058D" w:rsidRPr="009B058D" w:rsidRDefault="009B058D" w:rsidP="009B058D">
      <w:pPr>
        <w:numPr>
          <w:ilvl w:val="0"/>
          <w:numId w:val="14"/>
        </w:numPr>
        <w:jc w:val="both"/>
        <w:rPr>
          <w:sz w:val="24"/>
          <w:szCs w:val="24"/>
          <w:lang w:val="en-US"/>
        </w:rPr>
      </w:pPr>
      <w:r w:rsidRPr="009B058D">
        <w:rPr>
          <w:sz w:val="24"/>
          <w:szCs w:val="24"/>
          <w:lang w:val="en-US"/>
        </w:rPr>
        <w:t>“The Fifty-Nine-Story Crisis” (New Yorker, May 29 1995) by William LeMessurier case. </w:t>
      </w:r>
      <w:hyperlink r:id="rId38" w:tgtFrame="_blank" w:history="1">
        <w:r w:rsidRPr="009B058D">
          <w:rPr>
            <w:rStyle w:val="Hyperlink"/>
            <w:sz w:val="24"/>
            <w:szCs w:val="24"/>
            <w:lang w:val="en-US"/>
          </w:rPr>
          <w:t>Duke People+1</w:t>
        </w:r>
      </w:hyperlink>
    </w:p>
    <w:p w14:paraId="0D4B9720" w14:textId="77777777" w:rsidR="009B058D" w:rsidRPr="009B058D" w:rsidRDefault="009B058D" w:rsidP="009B058D">
      <w:pPr>
        <w:numPr>
          <w:ilvl w:val="0"/>
          <w:numId w:val="14"/>
        </w:numPr>
        <w:jc w:val="both"/>
        <w:rPr>
          <w:sz w:val="24"/>
          <w:szCs w:val="24"/>
          <w:lang w:val="en-US"/>
        </w:rPr>
      </w:pPr>
      <w:r w:rsidRPr="009B058D">
        <w:rPr>
          <w:sz w:val="24"/>
          <w:szCs w:val="24"/>
          <w:lang w:val="en-US"/>
        </w:rPr>
        <w:t>“Near‐Disaster at Citigroup Center in 1978” (Dlubal news) Sept 2023. </w:t>
      </w:r>
      <w:hyperlink r:id="rId39" w:tgtFrame="_blank" w:history="1">
        <w:r w:rsidRPr="009B058D">
          <w:rPr>
            <w:rStyle w:val="Hyperlink"/>
            <w:sz w:val="24"/>
            <w:szCs w:val="24"/>
            <w:lang w:val="en-US"/>
          </w:rPr>
          <w:t>Dlubal Software</w:t>
        </w:r>
      </w:hyperlink>
    </w:p>
    <w:p w14:paraId="27F14C8A" w14:textId="77777777" w:rsidR="009B058D" w:rsidRPr="009B058D" w:rsidRDefault="009B058D" w:rsidP="009B058D">
      <w:pPr>
        <w:numPr>
          <w:ilvl w:val="0"/>
          <w:numId w:val="14"/>
        </w:numPr>
        <w:jc w:val="both"/>
        <w:rPr>
          <w:sz w:val="24"/>
          <w:szCs w:val="24"/>
          <w:lang w:val="en-US"/>
        </w:rPr>
      </w:pPr>
      <w:r w:rsidRPr="009B058D">
        <w:rPr>
          <w:sz w:val="24"/>
          <w:szCs w:val="24"/>
          <w:lang w:val="en-US"/>
        </w:rPr>
        <w:t>“Lessons from the Citicorp Center Crisis: How Insurance Helped Avert a Catastrophe” (Risk Education) Aug 20 2025. </w:t>
      </w:r>
      <w:hyperlink r:id="rId40" w:tgtFrame="_blank" w:history="1">
        <w:r w:rsidRPr="009B058D">
          <w:rPr>
            <w:rStyle w:val="Hyperlink"/>
            <w:sz w:val="24"/>
            <w:szCs w:val="24"/>
            <w:lang w:val="en-US"/>
          </w:rPr>
          <w:t>Risk &amp; Insurance Education Alliance</w:t>
        </w:r>
      </w:hyperlink>
    </w:p>
    <w:p w14:paraId="6F122086" w14:textId="77777777" w:rsidR="009B058D" w:rsidRPr="009B058D" w:rsidRDefault="009B058D" w:rsidP="009B058D">
      <w:pPr>
        <w:numPr>
          <w:ilvl w:val="0"/>
          <w:numId w:val="14"/>
        </w:numPr>
        <w:jc w:val="both"/>
        <w:rPr>
          <w:sz w:val="24"/>
          <w:szCs w:val="24"/>
          <w:lang w:val="en-US"/>
        </w:rPr>
      </w:pPr>
      <w:r w:rsidRPr="009B058D">
        <w:rPr>
          <w:sz w:val="24"/>
          <w:szCs w:val="24"/>
          <w:lang w:val="en-US"/>
        </w:rPr>
        <w:t>“William LeMessurier” Wikipedia. </w:t>
      </w:r>
      <w:hyperlink r:id="rId41" w:tgtFrame="_blank" w:history="1">
        <w:r w:rsidRPr="009B058D">
          <w:rPr>
            <w:rStyle w:val="Hyperlink"/>
            <w:sz w:val="24"/>
            <w:szCs w:val="24"/>
            <w:lang w:val="en-US"/>
          </w:rPr>
          <w:t>Wikipedia</w:t>
        </w:r>
      </w:hyperlink>
    </w:p>
    <w:p w14:paraId="25769F14" w14:textId="77777777" w:rsidR="009B058D" w:rsidRPr="009B058D" w:rsidRDefault="009B058D" w:rsidP="009B058D">
      <w:pPr>
        <w:jc w:val="both"/>
        <w:rPr>
          <w:sz w:val="24"/>
          <w:szCs w:val="24"/>
          <w:lang w:val="en-US"/>
        </w:rPr>
      </w:pPr>
      <w:r w:rsidRPr="009B058D">
        <w:rPr>
          <w:sz w:val="24"/>
          <w:szCs w:val="24"/>
          <w:lang w:val="en-US"/>
        </w:rPr>
        <w:pict w14:anchorId="55BC74E8">
          <v:rect id="_x0000_i1620" style="width:0;height:0" o:hralign="center" o:hrstd="t" o:hr="t" fillcolor="#a0a0a0" stroked="f"/>
        </w:pict>
      </w:r>
    </w:p>
    <w:p w14:paraId="544F6042" w14:textId="77777777" w:rsidR="00806A84" w:rsidRPr="00806A84" w:rsidRDefault="00806A84" w:rsidP="009B058D">
      <w:pPr>
        <w:jc w:val="both"/>
        <w:rPr>
          <w:sz w:val="24"/>
          <w:szCs w:val="24"/>
        </w:rPr>
      </w:pPr>
    </w:p>
    <w:sectPr w:rsidR="00806A84" w:rsidRPr="00806A84" w:rsidSect="00806A8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6DFFC" w14:textId="77777777" w:rsidR="00957063" w:rsidRDefault="00957063" w:rsidP="00806A84">
      <w:pPr>
        <w:spacing w:after="0" w:line="240" w:lineRule="auto"/>
      </w:pPr>
      <w:r>
        <w:separator/>
      </w:r>
    </w:p>
  </w:endnote>
  <w:endnote w:type="continuationSeparator" w:id="0">
    <w:p w14:paraId="0E9DC8AD" w14:textId="77777777" w:rsidR="00957063" w:rsidRDefault="00957063" w:rsidP="00806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A8D8A" w14:textId="77777777" w:rsidR="00957063" w:rsidRDefault="00957063" w:rsidP="00806A84">
      <w:pPr>
        <w:spacing w:after="0" w:line="240" w:lineRule="auto"/>
      </w:pPr>
      <w:r>
        <w:separator/>
      </w:r>
    </w:p>
  </w:footnote>
  <w:footnote w:type="continuationSeparator" w:id="0">
    <w:p w14:paraId="1C495321" w14:textId="77777777" w:rsidR="00957063" w:rsidRDefault="00957063" w:rsidP="00806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772A8"/>
    <w:multiLevelType w:val="multilevel"/>
    <w:tmpl w:val="AEC6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617ED"/>
    <w:multiLevelType w:val="multilevel"/>
    <w:tmpl w:val="0E66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A34DA3"/>
    <w:multiLevelType w:val="multilevel"/>
    <w:tmpl w:val="42C6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56828"/>
    <w:multiLevelType w:val="multilevel"/>
    <w:tmpl w:val="05DE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502207"/>
    <w:multiLevelType w:val="multilevel"/>
    <w:tmpl w:val="4E7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5E0183"/>
    <w:multiLevelType w:val="multilevel"/>
    <w:tmpl w:val="6BAE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96212"/>
    <w:multiLevelType w:val="multilevel"/>
    <w:tmpl w:val="1F7E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D97480"/>
    <w:multiLevelType w:val="multilevel"/>
    <w:tmpl w:val="2824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7515D"/>
    <w:multiLevelType w:val="multilevel"/>
    <w:tmpl w:val="4040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335673"/>
    <w:multiLevelType w:val="multilevel"/>
    <w:tmpl w:val="6F0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C45B6D"/>
    <w:multiLevelType w:val="multilevel"/>
    <w:tmpl w:val="7FB2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B704BE"/>
    <w:multiLevelType w:val="multilevel"/>
    <w:tmpl w:val="46D4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C10C58"/>
    <w:multiLevelType w:val="multilevel"/>
    <w:tmpl w:val="69A2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DB200A"/>
    <w:multiLevelType w:val="multilevel"/>
    <w:tmpl w:val="C966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0776327">
    <w:abstractNumId w:val="7"/>
  </w:num>
  <w:num w:numId="2" w16cid:durableId="1600870568">
    <w:abstractNumId w:val="10"/>
  </w:num>
  <w:num w:numId="3" w16cid:durableId="32315177">
    <w:abstractNumId w:val="5"/>
  </w:num>
  <w:num w:numId="4" w16cid:durableId="700322328">
    <w:abstractNumId w:val="6"/>
  </w:num>
  <w:num w:numId="5" w16cid:durableId="1827235258">
    <w:abstractNumId w:val="11"/>
  </w:num>
  <w:num w:numId="6" w16cid:durableId="567695630">
    <w:abstractNumId w:val="9"/>
  </w:num>
  <w:num w:numId="7" w16cid:durableId="168642777">
    <w:abstractNumId w:val="8"/>
  </w:num>
  <w:num w:numId="8" w16cid:durableId="1226451527">
    <w:abstractNumId w:val="12"/>
  </w:num>
  <w:num w:numId="9" w16cid:durableId="1612662274">
    <w:abstractNumId w:val="2"/>
  </w:num>
  <w:num w:numId="10" w16cid:durableId="781075437">
    <w:abstractNumId w:val="13"/>
  </w:num>
  <w:num w:numId="11" w16cid:durableId="1056203705">
    <w:abstractNumId w:val="4"/>
  </w:num>
  <w:num w:numId="12" w16cid:durableId="804279588">
    <w:abstractNumId w:val="1"/>
  </w:num>
  <w:num w:numId="13" w16cid:durableId="2019698960">
    <w:abstractNumId w:val="0"/>
  </w:num>
  <w:num w:numId="14" w16cid:durableId="1847398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EE"/>
    <w:rsid w:val="00041903"/>
    <w:rsid w:val="000970D2"/>
    <w:rsid w:val="000A18E7"/>
    <w:rsid w:val="00267A05"/>
    <w:rsid w:val="004B0431"/>
    <w:rsid w:val="00586368"/>
    <w:rsid w:val="00614AD9"/>
    <w:rsid w:val="00621076"/>
    <w:rsid w:val="00675398"/>
    <w:rsid w:val="006E7585"/>
    <w:rsid w:val="007A77A8"/>
    <w:rsid w:val="007B58EE"/>
    <w:rsid w:val="007C2016"/>
    <w:rsid w:val="00806A84"/>
    <w:rsid w:val="008E5F1C"/>
    <w:rsid w:val="008F697A"/>
    <w:rsid w:val="00926468"/>
    <w:rsid w:val="00957063"/>
    <w:rsid w:val="009B058D"/>
    <w:rsid w:val="00BB56B2"/>
    <w:rsid w:val="00C807B6"/>
    <w:rsid w:val="00D20AD2"/>
    <w:rsid w:val="00DD4E8E"/>
    <w:rsid w:val="00E527D3"/>
    <w:rsid w:val="00FC5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F277"/>
  <w15:chartTrackingRefBased/>
  <w15:docId w15:val="{16D90E87-A8F2-49CD-B6A5-BD91260C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8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58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58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58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58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58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8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8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8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8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58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58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58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58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5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8EE"/>
    <w:rPr>
      <w:rFonts w:eastAsiaTheme="majorEastAsia" w:cstheme="majorBidi"/>
      <w:color w:val="272727" w:themeColor="text1" w:themeTint="D8"/>
    </w:rPr>
  </w:style>
  <w:style w:type="paragraph" w:styleId="Title">
    <w:name w:val="Title"/>
    <w:basedOn w:val="Normal"/>
    <w:next w:val="Normal"/>
    <w:link w:val="TitleChar"/>
    <w:uiPriority w:val="10"/>
    <w:qFormat/>
    <w:rsid w:val="007B5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8EE"/>
    <w:pPr>
      <w:spacing w:before="160"/>
      <w:jc w:val="center"/>
    </w:pPr>
    <w:rPr>
      <w:i/>
      <w:iCs/>
      <w:color w:val="404040" w:themeColor="text1" w:themeTint="BF"/>
    </w:rPr>
  </w:style>
  <w:style w:type="character" w:customStyle="1" w:styleId="QuoteChar">
    <w:name w:val="Quote Char"/>
    <w:basedOn w:val="DefaultParagraphFont"/>
    <w:link w:val="Quote"/>
    <w:uiPriority w:val="29"/>
    <w:rsid w:val="007B58EE"/>
    <w:rPr>
      <w:i/>
      <w:iCs/>
      <w:color w:val="404040" w:themeColor="text1" w:themeTint="BF"/>
    </w:rPr>
  </w:style>
  <w:style w:type="paragraph" w:styleId="ListParagraph">
    <w:name w:val="List Paragraph"/>
    <w:basedOn w:val="Normal"/>
    <w:uiPriority w:val="34"/>
    <w:qFormat/>
    <w:rsid w:val="007B58EE"/>
    <w:pPr>
      <w:ind w:left="720"/>
      <w:contextualSpacing/>
    </w:pPr>
  </w:style>
  <w:style w:type="character" w:styleId="IntenseEmphasis">
    <w:name w:val="Intense Emphasis"/>
    <w:basedOn w:val="DefaultParagraphFont"/>
    <w:uiPriority w:val="21"/>
    <w:qFormat/>
    <w:rsid w:val="007B58EE"/>
    <w:rPr>
      <w:i/>
      <w:iCs/>
      <w:color w:val="2F5496" w:themeColor="accent1" w:themeShade="BF"/>
    </w:rPr>
  </w:style>
  <w:style w:type="paragraph" w:styleId="IntenseQuote">
    <w:name w:val="Intense Quote"/>
    <w:basedOn w:val="Normal"/>
    <w:next w:val="Normal"/>
    <w:link w:val="IntenseQuoteChar"/>
    <w:uiPriority w:val="30"/>
    <w:qFormat/>
    <w:rsid w:val="007B58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58EE"/>
    <w:rPr>
      <w:i/>
      <w:iCs/>
      <w:color w:val="2F5496" w:themeColor="accent1" w:themeShade="BF"/>
    </w:rPr>
  </w:style>
  <w:style w:type="character" w:styleId="IntenseReference">
    <w:name w:val="Intense Reference"/>
    <w:basedOn w:val="DefaultParagraphFont"/>
    <w:uiPriority w:val="32"/>
    <w:qFormat/>
    <w:rsid w:val="007B58EE"/>
    <w:rPr>
      <w:b/>
      <w:bCs/>
      <w:smallCaps/>
      <w:color w:val="2F5496" w:themeColor="accent1" w:themeShade="BF"/>
      <w:spacing w:val="5"/>
    </w:rPr>
  </w:style>
  <w:style w:type="paragraph" w:styleId="Header">
    <w:name w:val="header"/>
    <w:basedOn w:val="Normal"/>
    <w:link w:val="HeaderChar"/>
    <w:uiPriority w:val="99"/>
    <w:unhideWhenUsed/>
    <w:rsid w:val="00806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A84"/>
  </w:style>
  <w:style w:type="paragraph" w:styleId="Footer">
    <w:name w:val="footer"/>
    <w:basedOn w:val="Normal"/>
    <w:link w:val="FooterChar"/>
    <w:uiPriority w:val="99"/>
    <w:unhideWhenUsed/>
    <w:rsid w:val="00806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A84"/>
  </w:style>
  <w:style w:type="table" w:styleId="TableGrid">
    <w:name w:val="Table Grid"/>
    <w:basedOn w:val="TableNormal"/>
    <w:uiPriority w:val="39"/>
    <w:rsid w:val="00586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058D"/>
    <w:rPr>
      <w:color w:val="0563C1" w:themeColor="hyperlink"/>
      <w:u w:val="single"/>
    </w:rPr>
  </w:style>
  <w:style w:type="character" w:styleId="UnresolvedMention">
    <w:name w:val="Unresolved Mention"/>
    <w:basedOn w:val="DefaultParagraphFont"/>
    <w:uiPriority w:val="99"/>
    <w:semiHidden/>
    <w:unhideWhenUsed/>
    <w:rsid w:val="009B0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ople.duke.edu/~hpgavin/cee421/citicorp1.htm?utm_source=chatgpt.com" TargetMode="External"/><Relationship Id="rId18" Type="http://schemas.openxmlformats.org/officeDocument/2006/relationships/hyperlink" Target="https://www.dlubal.com/en/news-and-events/news/blog/000126?srsltid=AfmBOoqDPs35pHBy5-4lAhGjMZNPzTyDb9h5fddYW4KKS9SJ1Y048EAt&amp;utm_source=chatgpt.com" TargetMode="External"/><Relationship Id="rId26" Type="http://schemas.openxmlformats.org/officeDocument/2006/relationships/hyperlink" Target="https://en.wikipedia.org/wiki/Citicorp_Center_engineering_crisis?utm_source=chatgpt.com" TargetMode="External"/><Relationship Id="rId39" Type="http://schemas.openxmlformats.org/officeDocument/2006/relationships/hyperlink" Target="https://www.dlubal.com/en/news-and-events/news/blog/000126?srsltid=AfmBOoqDPs35pHBy5-4lAhGjMZNPzTyDb9h5fddYW4KKS9SJ1Y048EAt&amp;utm_source=chatgpt.com" TargetMode="External"/><Relationship Id="rId21" Type="http://schemas.openxmlformats.org/officeDocument/2006/relationships/hyperlink" Target="https://www.dlubal.com/en/news-and-events/news/blog/000126?srsltid=AfmBOoqDPs35pHBy5-4lAhGjMZNPzTyDb9h5fddYW4KKS9SJ1Y048EAt&amp;utm_source=chatgpt.com" TargetMode="External"/><Relationship Id="rId34" Type="http://schemas.openxmlformats.org/officeDocument/2006/relationships/hyperlink" Target="https://en.wikipedia.org/wiki/Citigroup_Center?utm_source=chatgpt.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iticorp_Center_engineering_crisis?utm_source=chatgpt.com" TargetMode="External"/><Relationship Id="rId20" Type="http://schemas.openxmlformats.org/officeDocument/2006/relationships/hyperlink" Target="https://people.duke.edu/~hpgavin/cee421/citicorp1.htm?utm_source=chatgpt.com" TargetMode="External"/><Relationship Id="rId29" Type="http://schemas.openxmlformats.org/officeDocument/2006/relationships/hyperlink" Target="https://onlineethics.org/cases/william-lemessurier-fifty-nine-story-crisis-lesson-professional-behavior?utm_source=chatgpt.com" TargetMode="External"/><Relationship Id="rId41" Type="http://schemas.openxmlformats.org/officeDocument/2006/relationships/hyperlink" Target="https://en.wikipedia.org/wiki/William_LeMessurier?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lubal.com/en/news-and-events/news/blog/000126?srsltid=AfmBOoqDPs35pHBy5-4lAhGjMZNPzTyDb9h5fddYW4KKS9SJ1Y048EAt&amp;utm_source=chatgpt.com" TargetMode="External"/><Relationship Id="rId24" Type="http://schemas.openxmlformats.org/officeDocument/2006/relationships/hyperlink" Target="https://people.duke.edu/~hpgavin/cee421/citicorp1.htm?utm_source=chatgpt.com" TargetMode="External"/><Relationship Id="rId32" Type="http://schemas.openxmlformats.org/officeDocument/2006/relationships/hyperlink" Target="https://www.riskeducation.org/lessons-from-the-citicorp-center-crisis-how-insurance-helped-avert-a-catastrophe/?utm_source=chatgpt.com" TargetMode="External"/><Relationship Id="rId37" Type="http://schemas.openxmlformats.org/officeDocument/2006/relationships/hyperlink" Target="https://en.wikipedia.org/wiki/Citicorp_Center_engineering_crisis?utm_source=chatgpt.com" TargetMode="External"/><Relationship Id="rId40" Type="http://schemas.openxmlformats.org/officeDocument/2006/relationships/hyperlink" Target="https://www.riskeducation.org/lessons-from-the-citicorp-center-crisis-how-insurance-helped-avert-a-catastrophe/?utm_source=chatgpt.com" TargetMode="External"/><Relationship Id="rId5" Type="http://schemas.openxmlformats.org/officeDocument/2006/relationships/webSettings" Target="webSettings.xml"/><Relationship Id="rId15" Type="http://schemas.openxmlformats.org/officeDocument/2006/relationships/hyperlink" Target="https://people.duke.edu/~hpgavin/cee421/citicorp1.htm?utm_source=chatgpt.com" TargetMode="External"/><Relationship Id="rId23" Type="http://schemas.openxmlformats.org/officeDocument/2006/relationships/hyperlink" Target="https://people.duke.edu/~hpgavin/cee421/citicorp1.htm?utm_source=chatgpt.com" TargetMode="External"/><Relationship Id="rId28" Type="http://schemas.openxmlformats.org/officeDocument/2006/relationships/hyperlink" Target="https://en.wikipedia.org/wiki/Citicorp_Center_engineering_crisis?utm_source=chatgpt.com" TargetMode="External"/><Relationship Id="rId36" Type="http://schemas.openxmlformats.org/officeDocument/2006/relationships/hyperlink" Target="https://en.wikipedia.org/wiki/Citigroup_Center?utm_source=chatgpt.com" TargetMode="External"/><Relationship Id="rId10" Type="http://schemas.openxmlformats.org/officeDocument/2006/relationships/hyperlink" Target="https://en.wikipedia.org/wiki/Citicorp_Center_engineering_crisis?utm_source=chatgpt.com" TargetMode="External"/><Relationship Id="rId19" Type="http://schemas.openxmlformats.org/officeDocument/2006/relationships/hyperlink" Target="https://people.duke.edu/~hpgavin/cee421/citicorp1.htm?utm_source=chatgpt.com" TargetMode="External"/><Relationship Id="rId31" Type="http://schemas.openxmlformats.org/officeDocument/2006/relationships/hyperlink" Target="https://people.duke.edu/~hpgavin/cee421/citicorp1.htm?utm_source=chatgpt.com" TargetMode="External"/><Relationship Id="rId4" Type="http://schemas.openxmlformats.org/officeDocument/2006/relationships/settings" Target="settings.xml"/><Relationship Id="rId9" Type="http://schemas.openxmlformats.org/officeDocument/2006/relationships/hyperlink" Target="https://en.wikipedia.org/wiki/Citigroup_Center?utm_source=chatgpt.com" TargetMode="External"/><Relationship Id="rId14" Type="http://schemas.openxmlformats.org/officeDocument/2006/relationships/hyperlink" Target="https://people.duke.edu/~hpgavin/cee421/citicorp1.htm?utm_source=chatgpt.com" TargetMode="External"/><Relationship Id="rId22" Type="http://schemas.openxmlformats.org/officeDocument/2006/relationships/hyperlink" Target="https://en.wikipedia.org/wiki/Citicorp_Center_engineering_crisis?utm_source=chatgpt.com" TargetMode="External"/><Relationship Id="rId27" Type="http://schemas.openxmlformats.org/officeDocument/2006/relationships/hyperlink" Target="https://www.dlubal.com/en/news-and-events/news/blog/000126?srsltid=AfmBOoqDPs35pHBy5-4lAhGjMZNPzTyDb9h5fddYW4KKS9SJ1Y048EAt&amp;utm_source=chatgpt.com" TargetMode="External"/><Relationship Id="rId30" Type="http://schemas.openxmlformats.org/officeDocument/2006/relationships/hyperlink" Target="https://www.dlubal.com/en/news-and-events/news/blog/000126?srsltid=AfmBOoqDPs35pHBy5-4lAhGjMZNPzTyDb9h5fddYW4KKS9SJ1Y048EAt&amp;utm_source=chatgpt.com" TargetMode="External"/><Relationship Id="rId35" Type="http://schemas.openxmlformats.org/officeDocument/2006/relationships/hyperlink" Target="https://en.wikipedia.org/wiki/Citicorp_Center_engineering_crisis?utm_source=chatgpt.com"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Citicorp_Center_engineering_crisis?utm_source=chatgpt.com" TargetMode="External"/><Relationship Id="rId17" Type="http://schemas.openxmlformats.org/officeDocument/2006/relationships/hyperlink" Target="https://people.duke.edu/~hpgavin/cee421/citicorp1.htm?utm_source=chatgpt.com" TargetMode="External"/><Relationship Id="rId25" Type="http://schemas.openxmlformats.org/officeDocument/2006/relationships/hyperlink" Target="https://people.duke.edu/~hpgavin/cee421/citicorp1.htm?utm_source=chatgpt.com" TargetMode="External"/><Relationship Id="rId33" Type="http://schemas.openxmlformats.org/officeDocument/2006/relationships/hyperlink" Target="https://onlineethics.org/cases/william-lemessurier-fifty-nine-story-crisis-lesson-professional-behavior?utm_source=chatgpt.com" TargetMode="External"/><Relationship Id="rId38" Type="http://schemas.openxmlformats.org/officeDocument/2006/relationships/hyperlink" Target="https://people.duke.edu/~hpgavin/cee421/citicorp1.htm?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6FC04-B156-4198-93DF-6BD694D82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Upadhyaya</dc:creator>
  <cp:keywords/>
  <dc:description/>
  <cp:lastModifiedBy>Akshat kumar</cp:lastModifiedBy>
  <cp:revision>5</cp:revision>
  <dcterms:created xsi:type="dcterms:W3CDTF">2025-09-24T15:32:00Z</dcterms:created>
  <dcterms:modified xsi:type="dcterms:W3CDTF">2025-10-27T05:22:00Z</dcterms:modified>
</cp:coreProperties>
</file>