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36F9E" w14:textId="03D182CB" w:rsidR="00CE2E9F" w:rsidRPr="00CE2E9F" w:rsidRDefault="00CE2E9F" w:rsidP="007A6D1E">
      <w:pPr>
        <w:pStyle w:val="Heading1"/>
        <w:ind w:left="360"/>
      </w:pPr>
      <w:r>
        <w:t>S</w:t>
      </w:r>
      <w:r w:rsidRPr="00CE2E9F">
        <w:t>ummary of the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gridCol w:w="1435"/>
        <w:gridCol w:w="1570"/>
      </w:tblGrid>
      <w:tr w:rsidR="000E3671" w:rsidRPr="000E3671" w14:paraId="5F77D03B" w14:textId="77777777" w:rsidTr="007A6D1E">
        <w:trPr>
          <w:tblCellSpacing w:w="15" w:type="dxa"/>
        </w:trPr>
        <w:tc>
          <w:tcPr>
            <w:tcW w:w="0" w:type="auto"/>
            <w:vAlign w:val="center"/>
            <w:hideMark/>
          </w:tcPr>
          <w:p w14:paraId="3577B6BC" w14:textId="77777777" w:rsidR="000E3671" w:rsidRPr="007A6D1E" w:rsidRDefault="000E3671" w:rsidP="007A6D1E">
            <w:pPr>
              <w:ind w:left="360"/>
              <w:rPr>
                <w:b/>
                <w:bCs/>
              </w:rPr>
            </w:pPr>
            <w:r w:rsidRPr="007A6D1E">
              <w:rPr>
                <w:b/>
                <w:bCs/>
              </w:rPr>
              <w:t>File Name</w:t>
            </w:r>
          </w:p>
        </w:tc>
        <w:tc>
          <w:tcPr>
            <w:tcW w:w="0" w:type="auto"/>
            <w:vAlign w:val="center"/>
            <w:hideMark/>
          </w:tcPr>
          <w:p w14:paraId="4CAA0C3C" w14:textId="77777777" w:rsidR="000E3671" w:rsidRPr="007A6D1E" w:rsidRDefault="000E3671" w:rsidP="007A6D1E">
            <w:pPr>
              <w:ind w:left="360"/>
              <w:rPr>
                <w:b/>
                <w:bCs/>
              </w:rPr>
            </w:pPr>
            <w:r w:rsidRPr="007A6D1E">
              <w:rPr>
                <w:b/>
                <w:bCs/>
              </w:rPr>
              <w:t>Number of Rows</w:t>
            </w:r>
          </w:p>
        </w:tc>
        <w:tc>
          <w:tcPr>
            <w:tcW w:w="0" w:type="auto"/>
            <w:vAlign w:val="center"/>
            <w:hideMark/>
          </w:tcPr>
          <w:p w14:paraId="32A42DA5" w14:textId="77777777" w:rsidR="000E3671" w:rsidRPr="007A6D1E" w:rsidRDefault="000E3671" w:rsidP="007A6D1E">
            <w:pPr>
              <w:ind w:left="360"/>
              <w:rPr>
                <w:b/>
                <w:bCs/>
              </w:rPr>
            </w:pPr>
            <w:r w:rsidRPr="007A6D1E">
              <w:rPr>
                <w:b/>
                <w:bCs/>
              </w:rPr>
              <w:t>Number of Columns</w:t>
            </w:r>
          </w:p>
        </w:tc>
      </w:tr>
      <w:tr w:rsidR="000E3671" w:rsidRPr="000E3671" w14:paraId="31208E65" w14:textId="77777777" w:rsidTr="007A6D1E">
        <w:trPr>
          <w:tblCellSpacing w:w="15" w:type="dxa"/>
        </w:trPr>
        <w:tc>
          <w:tcPr>
            <w:tcW w:w="0" w:type="auto"/>
            <w:vAlign w:val="center"/>
            <w:hideMark/>
          </w:tcPr>
          <w:p w14:paraId="127C579B" w14:textId="77777777" w:rsidR="000E3671" w:rsidRPr="000E3671" w:rsidRDefault="000E3671" w:rsidP="007A6D1E">
            <w:pPr>
              <w:ind w:left="360"/>
            </w:pPr>
            <w:r w:rsidRPr="000E3671">
              <w:t>US_input_data_20240903_With_Headings.csv</w:t>
            </w:r>
          </w:p>
        </w:tc>
        <w:tc>
          <w:tcPr>
            <w:tcW w:w="0" w:type="auto"/>
            <w:vAlign w:val="center"/>
            <w:hideMark/>
          </w:tcPr>
          <w:p w14:paraId="47398590" w14:textId="77777777" w:rsidR="000E3671" w:rsidRPr="000E3671" w:rsidRDefault="000E3671" w:rsidP="007A6D1E">
            <w:pPr>
              <w:ind w:left="360"/>
            </w:pPr>
            <w:r w:rsidRPr="000E3671">
              <w:t>15284</w:t>
            </w:r>
          </w:p>
        </w:tc>
        <w:tc>
          <w:tcPr>
            <w:tcW w:w="0" w:type="auto"/>
            <w:vAlign w:val="center"/>
            <w:hideMark/>
          </w:tcPr>
          <w:p w14:paraId="04C5BE42" w14:textId="77777777" w:rsidR="000E3671" w:rsidRPr="000E3671" w:rsidRDefault="000E3671" w:rsidP="007A6D1E">
            <w:pPr>
              <w:ind w:left="360"/>
            </w:pPr>
            <w:r w:rsidRPr="000E3671">
              <w:t>42</w:t>
            </w:r>
          </w:p>
        </w:tc>
      </w:tr>
      <w:tr w:rsidR="000E3671" w:rsidRPr="000E3671" w14:paraId="6F856D3B" w14:textId="77777777" w:rsidTr="007A6D1E">
        <w:trPr>
          <w:tblCellSpacing w:w="15" w:type="dxa"/>
        </w:trPr>
        <w:tc>
          <w:tcPr>
            <w:tcW w:w="0" w:type="auto"/>
            <w:vAlign w:val="center"/>
            <w:hideMark/>
          </w:tcPr>
          <w:p w14:paraId="490376CF" w14:textId="77777777" w:rsidR="000E3671" w:rsidRPr="000E3671" w:rsidRDefault="000E3671" w:rsidP="007A6D1E">
            <w:pPr>
              <w:ind w:left="360"/>
            </w:pPr>
            <w:r w:rsidRPr="000E3671">
              <w:t>EMEA_input_sample_data_20240903_WithHeadings.csv</w:t>
            </w:r>
          </w:p>
        </w:tc>
        <w:tc>
          <w:tcPr>
            <w:tcW w:w="0" w:type="auto"/>
            <w:vAlign w:val="center"/>
            <w:hideMark/>
          </w:tcPr>
          <w:p w14:paraId="24F1ACEE" w14:textId="77777777" w:rsidR="000E3671" w:rsidRPr="000E3671" w:rsidRDefault="000E3671" w:rsidP="007A6D1E">
            <w:pPr>
              <w:ind w:left="360"/>
            </w:pPr>
            <w:r w:rsidRPr="000E3671">
              <w:t>76668</w:t>
            </w:r>
          </w:p>
        </w:tc>
        <w:tc>
          <w:tcPr>
            <w:tcW w:w="0" w:type="auto"/>
            <w:vAlign w:val="center"/>
            <w:hideMark/>
          </w:tcPr>
          <w:p w14:paraId="6683F61C" w14:textId="77777777" w:rsidR="000E3671" w:rsidRPr="000E3671" w:rsidRDefault="000E3671" w:rsidP="007A6D1E">
            <w:pPr>
              <w:ind w:left="360"/>
            </w:pPr>
            <w:r w:rsidRPr="000E3671">
              <w:t>56</w:t>
            </w:r>
          </w:p>
        </w:tc>
      </w:tr>
      <w:tr w:rsidR="000E3671" w:rsidRPr="000E3671" w14:paraId="6F1486C6" w14:textId="77777777" w:rsidTr="007A6D1E">
        <w:trPr>
          <w:tblCellSpacing w:w="15" w:type="dxa"/>
        </w:trPr>
        <w:tc>
          <w:tcPr>
            <w:tcW w:w="0" w:type="auto"/>
            <w:vAlign w:val="center"/>
            <w:hideMark/>
          </w:tcPr>
          <w:p w14:paraId="6CBC6133" w14:textId="77777777" w:rsidR="000E3671" w:rsidRPr="000E3671" w:rsidRDefault="000E3671" w:rsidP="007A6D1E">
            <w:pPr>
              <w:ind w:left="360"/>
            </w:pPr>
            <w:r w:rsidRPr="000E3671">
              <w:t>EMEA_additional_sample_data_With_headings.csv</w:t>
            </w:r>
          </w:p>
        </w:tc>
        <w:tc>
          <w:tcPr>
            <w:tcW w:w="0" w:type="auto"/>
            <w:vAlign w:val="center"/>
            <w:hideMark/>
          </w:tcPr>
          <w:p w14:paraId="11E9C99B" w14:textId="77777777" w:rsidR="000E3671" w:rsidRPr="000E3671" w:rsidRDefault="000E3671" w:rsidP="007A6D1E">
            <w:pPr>
              <w:ind w:left="360"/>
            </w:pPr>
            <w:r w:rsidRPr="000E3671">
              <w:t>64343</w:t>
            </w:r>
          </w:p>
        </w:tc>
        <w:tc>
          <w:tcPr>
            <w:tcW w:w="0" w:type="auto"/>
            <w:vAlign w:val="center"/>
            <w:hideMark/>
          </w:tcPr>
          <w:p w14:paraId="50E7FE53" w14:textId="77777777" w:rsidR="000E3671" w:rsidRPr="000E3671" w:rsidRDefault="000E3671" w:rsidP="007A6D1E">
            <w:pPr>
              <w:ind w:left="360"/>
            </w:pPr>
            <w:r w:rsidRPr="000E3671">
              <w:t>37</w:t>
            </w:r>
          </w:p>
        </w:tc>
      </w:tr>
      <w:tr w:rsidR="000E3671" w:rsidRPr="000E3671" w14:paraId="23CC0A13" w14:textId="77777777" w:rsidTr="007A6D1E">
        <w:trPr>
          <w:tblCellSpacing w:w="15" w:type="dxa"/>
        </w:trPr>
        <w:tc>
          <w:tcPr>
            <w:tcW w:w="0" w:type="auto"/>
            <w:vAlign w:val="center"/>
            <w:hideMark/>
          </w:tcPr>
          <w:p w14:paraId="018344DB" w14:textId="77777777" w:rsidR="000E3671" w:rsidRPr="000E3671" w:rsidRDefault="000E3671" w:rsidP="007A6D1E">
            <w:pPr>
              <w:ind w:left="360"/>
            </w:pPr>
            <w:r w:rsidRPr="000E3671">
              <w:t>EMEA_output_sample_dat_03_09_With_Headings.csv</w:t>
            </w:r>
          </w:p>
        </w:tc>
        <w:tc>
          <w:tcPr>
            <w:tcW w:w="0" w:type="auto"/>
            <w:vAlign w:val="center"/>
            <w:hideMark/>
          </w:tcPr>
          <w:p w14:paraId="23F540D4" w14:textId="77777777" w:rsidR="000E3671" w:rsidRPr="000E3671" w:rsidRDefault="000E3671" w:rsidP="007A6D1E">
            <w:pPr>
              <w:ind w:left="360"/>
            </w:pPr>
            <w:r w:rsidRPr="000E3671">
              <w:t>34896</w:t>
            </w:r>
          </w:p>
        </w:tc>
        <w:tc>
          <w:tcPr>
            <w:tcW w:w="0" w:type="auto"/>
            <w:vAlign w:val="center"/>
            <w:hideMark/>
          </w:tcPr>
          <w:p w14:paraId="12C4D27F" w14:textId="77777777" w:rsidR="000E3671" w:rsidRPr="000E3671" w:rsidRDefault="000E3671" w:rsidP="007A6D1E">
            <w:pPr>
              <w:ind w:left="360"/>
            </w:pPr>
            <w:r w:rsidRPr="000E3671">
              <w:t>11</w:t>
            </w:r>
          </w:p>
        </w:tc>
      </w:tr>
    </w:tbl>
    <w:p w14:paraId="49BB216E" w14:textId="77777777" w:rsidR="000E3671" w:rsidRDefault="000E3671" w:rsidP="007A6D1E"/>
    <w:p w14:paraId="6C508B29" w14:textId="77777777" w:rsidR="0062722B" w:rsidRDefault="0062722B" w:rsidP="007A6D1E"/>
    <w:p w14:paraId="7B403437" w14:textId="17809E72" w:rsidR="0062722B" w:rsidRDefault="0062722B" w:rsidP="007A6D1E">
      <w:pPr>
        <w:pStyle w:val="Heading1"/>
        <w:ind w:left="360"/>
      </w:pPr>
      <w:r>
        <w:t>Current findings</w:t>
      </w:r>
    </w:p>
    <w:p w14:paraId="39B95D36" w14:textId="71A727D9" w:rsidR="0062722B" w:rsidRPr="007A6D1E" w:rsidRDefault="0062722B" w:rsidP="007A6D1E">
      <w:pPr>
        <w:ind w:left="360"/>
        <w:rPr>
          <w:b/>
          <w:bCs/>
        </w:rPr>
      </w:pPr>
      <w:r w:rsidRPr="007A6D1E">
        <w:rPr>
          <w:b/>
          <w:bCs/>
        </w:rPr>
        <w:t>Data Set EMEA</w:t>
      </w:r>
    </w:p>
    <w:p w14:paraId="4C3A3957" w14:textId="77777777" w:rsidR="0062722B" w:rsidRDefault="0062722B" w:rsidP="007A6D1E">
      <w:pPr>
        <w:ind w:left="720"/>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gridCol w:w="1076"/>
      </w:tblGrid>
      <w:tr w:rsidR="00E70427" w:rsidRPr="00E70427" w14:paraId="7994E1E8" w14:textId="77777777" w:rsidTr="007A6D1E">
        <w:trPr>
          <w:tblCellSpacing w:w="15" w:type="dxa"/>
        </w:trPr>
        <w:tc>
          <w:tcPr>
            <w:tcW w:w="0" w:type="auto"/>
            <w:vAlign w:val="center"/>
            <w:hideMark/>
          </w:tcPr>
          <w:p w14:paraId="56E0E80C" w14:textId="77777777" w:rsidR="00E70427" w:rsidRPr="007A6D1E" w:rsidRDefault="00E70427" w:rsidP="007A6D1E">
            <w:pPr>
              <w:ind w:left="360"/>
              <w:rPr>
                <w:b/>
                <w:bCs/>
              </w:rPr>
            </w:pPr>
            <w:r w:rsidRPr="007A6D1E">
              <w:rPr>
                <w:b/>
                <w:bCs/>
              </w:rPr>
              <w:t>CLIENT_ASSET_CLASS_NAME</w:t>
            </w:r>
          </w:p>
        </w:tc>
        <w:tc>
          <w:tcPr>
            <w:tcW w:w="0" w:type="auto"/>
            <w:vAlign w:val="center"/>
            <w:hideMark/>
          </w:tcPr>
          <w:p w14:paraId="0D3306B4" w14:textId="77777777" w:rsidR="00E70427" w:rsidRPr="007A6D1E" w:rsidRDefault="00E70427" w:rsidP="007A6D1E">
            <w:pPr>
              <w:ind w:left="360"/>
              <w:rPr>
                <w:b/>
                <w:bCs/>
              </w:rPr>
            </w:pPr>
            <w:r w:rsidRPr="007A6D1E">
              <w:rPr>
                <w:b/>
                <w:bCs/>
              </w:rPr>
              <w:t>Count</w:t>
            </w:r>
          </w:p>
        </w:tc>
      </w:tr>
      <w:tr w:rsidR="00E70427" w:rsidRPr="00E70427" w14:paraId="04126500" w14:textId="77777777" w:rsidTr="007A6D1E">
        <w:trPr>
          <w:tblCellSpacing w:w="15" w:type="dxa"/>
        </w:trPr>
        <w:tc>
          <w:tcPr>
            <w:tcW w:w="0" w:type="auto"/>
            <w:vAlign w:val="center"/>
            <w:hideMark/>
          </w:tcPr>
          <w:p w14:paraId="5FAB7C29" w14:textId="77777777" w:rsidR="00E70427" w:rsidRPr="00E70427" w:rsidRDefault="00E70427" w:rsidP="007A6D1E">
            <w:pPr>
              <w:ind w:left="360"/>
            </w:pPr>
            <w:r w:rsidRPr="00E70427">
              <w:t>Equities</w:t>
            </w:r>
          </w:p>
        </w:tc>
        <w:tc>
          <w:tcPr>
            <w:tcW w:w="0" w:type="auto"/>
            <w:vAlign w:val="center"/>
            <w:hideMark/>
          </w:tcPr>
          <w:p w14:paraId="50C72CE6" w14:textId="77777777" w:rsidR="00E70427" w:rsidRPr="00E70427" w:rsidRDefault="00E70427" w:rsidP="007A6D1E">
            <w:pPr>
              <w:ind w:left="360"/>
            </w:pPr>
            <w:r w:rsidRPr="00E70427">
              <w:t>44806</w:t>
            </w:r>
          </w:p>
        </w:tc>
      </w:tr>
      <w:tr w:rsidR="00E70427" w:rsidRPr="00E70427" w14:paraId="4C255672" w14:textId="77777777" w:rsidTr="007A6D1E">
        <w:trPr>
          <w:tblCellSpacing w:w="15" w:type="dxa"/>
        </w:trPr>
        <w:tc>
          <w:tcPr>
            <w:tcW w:w="0" w:type="auto"/>
            <w:vAlign w:val="center"/>
            <w:hideMark/>
          </w:tcPr>
          <w:p w14:paraId="50B964A0" w14:textId="77777777" w:rsidR="00E70427" w:rsidRPr="00E70427" w:rsidRDefault="00E70427" w:rsidP="007A6D1E">
            <w:pPr>
              <w:ind w:left="360"/>
            </w:pPr>
            <w:r w:rsidRPr="00E70427">
              <w:t>Fixed Income</w:t>
            </w:r>
          </w:p>
        </w:tc>
        <w:tc>
          <w:tcPr>
            <w:tcW w:w="0" w:type="auto"/>
            <w:vAlign w:val="center"/>
            <w:hideMark/>
          </w:tcPr>
          <w:p w14:paraId="73562DBB" w14:textId="77777777" w:rsidR="00E70427" w:rsidRPr="00E70427" w:rsidRDefault="00E70427" w:rsidP="007A6D1E">
            <w:pPr>
              <w:ind w:left="360"/>
            </w:pPr>
            <w:r w:rsidRPr="00E70427">
              <w:t>21136</w:t>
            </w:r>
          </w:p>
        </w:tc>
      </w:tr>
      <w:tr w:rsidR="00E70427" w:rsidRPr="00E70427" w14:paraId="02C681A8" w14:textId="77777777" w:rsidTr="007A6D1E">
        <w:trPr>
          <w:tblCellSpacing w:w="15" w:type="dxa"/>
        </w:trPr>
        <w:tc>
          <w:tcPr>
            <w:tcW w:w="0" w:type="auto"/>
            <w:vAlign w:val="center"/>
            <w:hideMark/>
          </w:tcPr>
          <w:p w14:paraId="4F722276" w14:textId="77777777" w:rsidR="00E70427" w:rsidRPr="00E70427" w:rsidRDefault="00E70427" w:rsidP="007A6D1E">
            <w:pPr>
              <w:ind w:left="360"/>
            </w:pPr>
            <w:r w:rsidRPr="00E70427">
              <w:t>Hedge Funds</w:t>
            </w:r>
          </w:p>
        </w:tc>
        <w:tc>
          <w:tcPr>
            <w:tcW w:w="0" w:type="auto"/>
            <w:vAlign w:val="center"/>
            <w:hideMark/>
          </w:tcPr>
          <w:p w14:paraId="68A0FAE8" w14:textId="77777777" w:rsidR="00E70427" w:rsidRPr="00E70427" w:rsidRDefault="00E70427" w:rsidP="007A6D1E">
            <w:pPr>
              <w:ind w:left="360"/>
            </w:pPr>
            <w:r w:rsidRPr="00E70427">
              <w:t>5302</w:t>
            </w:r>
          </w:p>
        </w:tc>
      </w:tr>
      <w:tr w:rsidR="00E70427" w:rsidRPr="00E70427" w14:paraId="4CF40AA8" w14:textId="77777777" w:rsidTr="007A6D1E">
        <w:trPr>
          <w:tblCellSpacing w:w="15" w:type="dxa"/>
        </w:trPr>
        <w:tc>
          <w:tcPr>
            <w:tcW w:w="0" w:type="auto"/>
            <w:vAlign w:val="center"/>
            <w:hideMark/>
          </w:tcPr>
          <w:p w14:paraId="1468C8AD" w14:textId="77777777" w:rsidR="00E70427" w:rsidRPr="00E70427" w:rsidRDefault="00E70427" w:rsidP="007A6D1E">
            <w:pPr>
              <w:ind w:left="360"/>
            </w:pPr>
            <w:r w:rsidRPr="00E70427">
              <w:t>Mutual Funds</w:t>
            </w:r>
          </w:p>
        </w:tc>
        <w:tc>
          <w:tcPr>
            <w:tcW w:w="0" w:type="auto"/>
            <w:vAlign w:val="center"/>
            <w:hideMark/>
          </w:tcPr>
          <w:p w14:paraId="12E742A2" w14:textId="77777777" w:rsidR="00E70427" w:rsidRPr="00E70427" w:rsidRDefault="00E70427" w:rsidP="007A6D1E">
            <w:pPr>
              <w:ind w:left="360"/>
            </w:pPr>
            <w:r w:rsidRPr="00E70427">
              <w:t>2893</w:t>
            </w:r>
          </w:p>
        </w:tc>
      </w:tr>
      <w:tr w:rsidR="00E70427" w:rsidRPr="00E70427" w14:paraId="15E3FDAB" w14:textId="77777777" w:rsidTr="007A6D1E">
        <w:trPr>
          <w:tblCellSpacing w:w="15" w:type="dxa"/>
        </w:trPr>
        <w:tc>
          <w:tcPr>
            <w:tcW w:w="0" w:type="auto"/>
            <w:vAlign w:val="center"/>
            <w:hideMark/>
          </w:tcPr>
          <w:p w14:paraId="4949A5A6" w14:textId="77777777" w:rsidR="00E70427" w:rsidRPr="00E70427" w:rsidRDefault="00E70427" w:rsidP="007A6D1E">
            <w:pPr>
              <w:ind w:left="360"/>
            </w:pPr>
            <w:r w:rsidRPr="00E70427">
              <w:t>FX, PM, Other Commodities</w:t>
            </w:r>
          </w:p>
        </w:tc>
        <w:tc>
          <w:tcPr>
            <w:tcW w:w="0" w:type="auto"/>
            <w:vAlign w:val="center"/>
            <w:hideMark/>
          </w:tcPr>
          <w:p w14:paraId="2964AA3F" w14:textId="77777777" w:rsidR="00E70427" w:rsidRPr="00E70427" w:rsidRDefault="00E70427" w:rsidP="007A6D1E">
            <w:pPr>
              <w:ind w:left="360"/>
            </w:pPr>
            <w:r w:rsidRPr="00E70427">
              <w:t>1193</w:t>
            </w:r>
          </w:p>
        </w:tc>
      </w:tr>
      <w:tr w:rsidR="00E70427" w:rsidRPr="00E70427" w14:paraId="0BF5D27B" w14:textId="77777777" w:rsidTr="007A6D1E">
        <w:trPr>
          <w:tblCellSpacing w:w="15" w:type="dxa"/>
        </w:trPr>
        <w:tc>
          <w:tcPr>
            <w:tcW w:w="0" w:type="auto"/>
            <w:vAlign w:val="center"/>
            <w:hideMark/>
          </w:tcPr>
          <w:p w14:paraId="6687473C" w14:textId="77777777" w:rsidR="00E70427" w:rsidRPr="00E70427" w:rsidRDefault="00E70427" w:rsidP="007A6D1E">
            <w:pPr>
              <w:ind w:left="360"/>
            </w:pPr>
            <w:r w:rsidRPr="00E70427">
              <w:t>Money Market Funds</w:t>
            </w:r>
          </w:p>
        </w:tc>
        <w:tc>
          <w:tcPr>
            <w:tcW w:w="0" w:type="auto"/>
            <w:vAlign w:val="center"/>
            <w:hideMark/>
          </w:tcPr>
          <w:p w14:paraId="6EC4B8E3" w14:textId="77777777" w:rsidR="00E70427" w:rsidRPr="00E70427" w:rsidRDefault="00E70427" w:rsidP="007A6D1E">
            <w:pPr>
              <w:ind w:left="360"/>
            </w:pPr>
            <w:r w:rsidRPr="00E70427">
              <w:t>784</w:t>
            </w:r>
          </w:p>
        </w:tc>
      </w:tr>
      <w:tr w:rsidR="00E70427" w:rsidRPr="00E70427" w14:paraId="390CF168" w14:textId="77777777" w:rsidTr="007A6D1E">
        <w:trPr>
          <w:tblCellSpacing w:w="15" w:type="dxa"/>
        </w:trPr>
        <w:tc>
          <w:tcPr>
            <w:tcW w:w="0" w:type="auto"/>
            <w:vAlign w:val="center"/>
            <w:hideMark/>
          </w:tcPr>
          <w:p w14:paraId="70986F74" w14:textId="77777777" w:rsidR="00E70427" w:rsidRPr="00E70427" w:rsidRDefault="00E70427" w:rsidP="007A6D1E">
            <w:pPr>
              <w:ind w:left="360"/>
            </w:pPr>
            <w:r w:rsidRPr="00E70427">
              <w:t>Funds - Other</w:t>
            </w:r>
          </w:p>
        </w:tc>
        <w:tc>
          <w:tcPr>
            <w:tcW w:w="0" w:type="auto"/>
            <w:vAlign w:val="center"/>
            <w:hideMark/>
          </w:tcPr>
          <w:p w14:paraId="22F8ACE1" w14:textId="77777777" w:rsidR="00E70427" w:rsidRPr="00E70427" w:rsidRDefault="00E70427" w:rsidP="007A6D1E">
            <w:pPr>
              <w:ind w:left="360"/>
            </w:pPr>
            <w:r w:rsidRPr="00E70427">
              <w:t>442</w:t>
            </w:r>
          </w:p>
        </w:tc>
      </w:tr>
      <w:tr w:rsidR="00E70427" w:rsidRPr="00E70427" w14:paraId="6EF05340" w14:textId="77777777" w:rsidTr="007A6D1E">
        <w:trPr>
          <w:tblCellSpacing w:w="15" w:type="dxa"/>
        </w:trPr>
        <w:tc>
          <w:tcPr>
            <w:tcW w:w="0" w:type="auto"/>
            <w:vAlign w:val="center"/>
            <w:hideMark/>
          </w:tcPr>
          <w:p w14:paraId="4095E910" w14:textId="77777777" w:rsidR="00E70427" w:rsidRPr="00E70427" w:rsidRDefault="00E70427" w:rsidP="007A6D1E">
            <w:pPr>
              <w:ind w:left="360"/>
            </w:pPr>
            <w:r w:rsidRPr="00E70427">
              <w:t>Alternatives</w:t>
            </w:r>
          </w:p>
        </w:tc>
        <w:tc>
          <w:tcPr>
            <w:tcW w:w="0" w:type="auto"/>
            <w:vAlign w:val="center"/>
            <w:hideMark/>
          </w:tcPr>
          <w:p w14:paraId="521AF330" w14:textId="77777777" w:rsidR="00E70427" w:rsidRPr="00E70427" w:rsidRDefault="00E70427" w:rsidP="007A6D1E">
            <w:pPr>
              <w:ind w:left="360"/>
            </w:pPr>
            <w:r w:rsidRPr="00E70427">
              <w:t>11</w:t>
            </w:r>
          </w:p>
        </w:tc>
      </w:tr>
      <w:tr w:rsidR="00E70427" w:rsidRPr="00E70427" w14:paraId="108E417F" w14:textId="77777777" w:rsidTr="007A6D1E">
        <w:trPr>
          <w:tblCellSpacing w:w="15" w:type="dxa"/>
        </w:trPr>
        <w:tc>
          <w:tcPr>
            <w:tcW w:w="0" w:type="auto"/>
            <w:vAlign w:val="center"/>
            <w:hideMark/>
          </w:tcPr>
          <w:p w14:paraId="14B69DC9" w14:textId="77777777" w:rsidR="00E70427" w:rsidRPr="00E70427" w:rsidRDefault="00E70427" w:rsidP="007A6D1E">
            <w:pPr>
              <w:ind w:left="360"/>
            </w:pPr>
            <w:r w:rsidRPr="00E70427">
              <w:t>Warrants</w:t>
            </w:r>
          </w:p>
        </w:tc>
        <w:tc>
          <w:tcPr>
            <w:tcW w:w="0" w:type="auto"/>
            <w:vAlign w:val="center"/>
            <w:hideMark/>
          </w:tcPr>
          <w:p w14:paraId="3CCFF246" w14:textId="77777777" w:rsidR="00E70427" w:rsidRPr="00E70427" w:rsidRDefault="00E70427" w:rsidP="007A6D1E">
            <w:pPr>
              <w:ind w:left="360"/>
            </w:pPr>
            <w:r w:rsidRPr="00E70427">
              <w:t>1</w:t>
            </w:r>
          </w:p>
        </w:tc>
      </w:tr>
    </w:tbl>
    <w:p w14:paraId="2FB5BEB5" w14:textId="77777777" w:rsidR="00DC3D55" w:rsidRDefault="00DC3D55" w:rsidP="007A6D1E"/>
    <w:p w14:paraId="4A8C136D" w14:textId="5B5D5E00" w:rsidR="00DC3D55" w:rsidRPr="007A6D1E" w:rsidRDefault="00DC3D55" w:rsidP="007A6D1E">
      <w:pPr>
        <w:ind w:left="360"/>
        <w:rPr>
          <w:b/>
          <w:bCs/>
        </w:rPr>
      </w:pPr>
      <w:r w:rsidRPr="007A6D1E">
        <w:rPr>
          <w:b/>
          <w:bCs/>
        </w:rPr>
        <w:t>Data set US</w:t>
      </w:r>
    </w:p>
    <w:p w14:paraId="29E8E93B" w14:textId="77777777" w:rsidR="0062722B" w:rsidRDefault="0062722B" w:rsidP="007A6D1E">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2"/>
        <w:gridCol w:w="30"/>
        <w:gridCol w:w="1985"/>
      </w:tblGrid>
      <w:tr w:rsidR="00E70427" w:rsidRPr="00E70427" w14:paraId="346FA7B6" w14:textId="77777777" w:rsidTr="007A6D1E">
        <w:trPr>
          <w:tblCellSpacing w:w="15" w:type="dxa"/>
        </w:trPr>
        <w:tc>
          <w:tcPr>
            <w:tcW w:w="0" w:type="auto"/>
            <w:vAlign w:val="center"/>
            <w:hideMark/>
          </w:tcPr>
          <w:p w14:paraId="0C64D323" w14:textId="77777777" w:rsidR="00E70427" w:rsidRPr="007A6D1E" w:rsidRDefault="00E70427" w:rsidP="007A6D1E">
            <w:pPr>
              <w:ind w:left="360"/>
              <w:rPr>
                <w:b/>
                <w:bCs/>
              </w:rPr>
            </w:pPr>
            <w:r w:rsidRPr="007A6D1E">
              <w:rPr>
                <w:b/>
                <w:bCs/>
              </w:rPr>
              <w:t>ASSET_CLASS_LEVEL1</w:t>
            </w:r>
          </w:p>
        </w:tc>
        <w:tc>
          <w:tcPr>
            <w:tcW w:w="1970" w:type="dxa"/>
            <w:gridSpan w:val="2"/>
            <w:vAlign w:val="center"/>
            <w:hideMark/>
          </w:tcPr>
          <w:p w14:paraId="1304A662" w14:textId="77777777" w:rsidR="00E70427" w:rsidRPr="007A6D1E" w:rsidRDefault="00E70427" w:rsidP="007A6D1E">
            <w:pPr>
              <w:ind w:left="360"/>
              <w:rPr>
                <w:b/>
                <w:bCs/>
              </w:rPr>
            </w:pPr>
            <w:r w:rsidRPr="007A6D1E">
              <w:rPr>
                <w:b/>
                <w:bCs/>
              </w:rPr>
              <w:t>Count</w:t>
            </w:r>
          </w:p>
        </w:tc>
      </w:tr>
      <w:tr w:rsidR="00E70427" w:rsidRPr="00E70427" w14:paraId="65EC27A5" w14:textId="77777777" w:rsidTr="007A6D1E">
        <w:trPr>
          <w:tblCellSpacing w:w="15" w:type="dxa"/>
        </w:trPr>
        <w:tc>
          <w:tcPr>
            <w:tcW w:w="3357" w:type="dxa"/>
            <w:gridSpan w:val="2"/>
            <w:vAlign w:val="center"/>
            <w:hideMark/>
          </w:tcPr>
          <w:p w14:paraId="3A81CE1B" w14:textId="77777777" w:rsidR="00E70427" w:rsidRPr="00E70427" w:rsidRDefault="00E70427" w:rsidP="007A6D1E">
            <w:pPr>
              <w:ind w:left="360"/>
            </w:pPr>
            <w:r w:rsidRPr="00E70427">
              <w:t>Na</w:t>
            </w:r>
          </w:p>
        </w:tc>
        <w:tc>
          <w:tcPr>
            <w:tcW w:w="1940" w:type="dxa"/>
            <w:vAlign w:val="center"/>
            <w:hideMark/>
          </w:tcPr>
          <w:p w14:paraId="20CCA53F" w14:textId="77777777" w:rsidR="00E70427" w:rsidRPr="00E70427" w:rsidRDefault="00E70427" w:rsidP="007A6D1E">
            <w:pPr>
              <w:ind w:left="360"/>
            </w:pPr>
            <w:r w:rsidRPr="00E70427">
              <w:t>10967</w:t>
            </w:r>
          </w:p>
        </w:tc>
      </w:tr>
      <w:tr w:rsidR="00E70427" w:rsidRPr="00E70427" w14:paraId="60DDBFE4" w14:textId="77777777" w:rsidTr="007A6D1E">
        <w:trPr>
          <w:tblCellSpacing w:w="15" w:type="dxa"/>
        </w:trPr>
        <w:tc>
          <w:tcPr>
            <w:tcW w:w="3357" w:type="dxa"/>
            <w:gridSpan w:val="2"/>
            <w:vAlign w:val="center"/>
            <w:hideMark/>
          </w:tcPr>
          <w:p w14:paraId="2FB9C2E7" w14:textId="77777777" w:rsidR="00E70427" w:rsidRPr="00E70427" w:rsidRDefault="00E70427" w:rsidP="007A6D1E">
            <w:pPr>
              <w:ind w:left="360"/>
            </w:pPr>
            <w:r w:rsidRPr="00E70427">
              <w:t>Fixed Income</w:t>
            </w:r>
          </w:p>
        </w:tc>
        <w:tc>
          <w:tcPr>
            <w:tcW w:w="1940" w:type="dxa"/>
            <w:vAlign w:val="center"/>
            <w:hideMark/>
          </w:tcPr>
          <w:p w14:paraId="0476E938" w14:textId="77777777" w:rsidR="00E70427" w:rsidRPr="00E70427" w:rsidRDefault="00E70427" w:rsidP="007A6D1E">
            <w:pPr>
              <w:ind w:left="360"/>
            </w:pPr>
            <w:r w:rsidRPr="00E70427">
              <w:t>2252</w:t>
            </w:r>
          </w:p>
        </w:tc>
      </w:tr>
      <w:tr w:rsidR="00E70427" w:rsidRPr="00E70427" w14:paraId="7654D403" w14:textId="77777777" w:rsidTr="007A6D1E">
        <w:trPr>
          <w:tblCellSpacing w:w="15" w:type="dxa"/>
        </w:trPr>
        <w:tc>
          <w:tcPr>
            <w:tcW w:w="3357" w:type="dxa"/>
            <w:gridSpan w:val="2"/>
            <w:vAlign w:val="center"/>
            <w:hideMark/>
          </w:tcPr>
          <w:p w14:paraId="361770A9" w14:textId="77777777" w:rsidR="00E70427" w:rsidRPr="00E70427" w:rsidRDefault="00E70427" w:rsidP="007A6D1E">
            <w:pPr>
              <w:ind w:left="360"/>
            </w:pPr>
            <w:r w:rsidRPr="00E70427">
              <w:t>Equities</w:t>
            </w:r>
          </w:p>
        </w:tc>
        <w:tc>
          <w:tcPr>
            <w:tcW w:w="1940" w:type="dxa"/>
            <w:vAlign w:val="center"/>
            <w:hideMark/>
          </w:tcPr>
          <w:p w14:paraId="3C49CD46" w14:textId="77777777" w:rsidR="00E70427" w:rsidRPr="00E70427" w:rsidRDefault="00E70427" w:rsidP="007A6D1E">
            <w:pPr>
              <w:ind w:left="360"/>
            </w:pPr>
            <w:r w:rsidRPr="00E70427">
              <w:t>1235</w:t>
            </w:r>
          </w:p>
        </w:tc>
      </w:tr>
      <w:tr w:rsidR="00E70427" w:rsidRPr="00E70427" w14:paraId="7251DF15" w14:textId="77777777" w:rsidTr="007A6D1E">
        <w:trPr>
          <w:tblCellSpacing w:w="15" w:type="dxa"/>
        </w:trPr>
        <w:tc>
          <w:tcPr>
            <w:tcW w:w="3357" w:type="dxa"/>
            <w:gridSpan w:val="2"/>
            <w:vAlign w:val="center"/>
            <w:hideMark/>
          </w:tcPr>
          <w:p w14:paraId="2F567246" w14:textId="77777777" w:rsidR="00E70427" w:rsidRPr="00E70427" w:rsidRDefault="00E70427" w:rsidP="007A6D1E">
            <w:pPr>
              <w:ind w:left="360"/>
            </w:pPr>
            <w:r w:rsidRPr="00E70427">
              <w:t>Funds</w:t>
            </w:r>
          </w:p>
        </w:tc>
        <w:tc>
          <w:tcPr>
            <w:tcW w:w="1940" w:type="dxa"/>
            <w:vAlign w:val="center"/>
            <w:hideMark/>
          </w:tcPr>
          <w:p w14:paraId="226AB296" w14:textId="77777777" w:rsidR="00E70427" w:rsidRPr="00E70427" w:rsidRDefault="00E70427" w:rsidP="007A6D1E">
            <w:pPr>
              <w:ind w:left="360"/>
            </w:pPr>
            <w:r w:rsidRPr="00E70427">
              <w:t>634</w:t>
            </w:r>
          </w:p>
        </w:tc>
      </w:tr>
      <w:tr w:rsidR="00E70427" w:rsidRPr="00E70427" w14:paraId="5D3CD693" w14:textId="77777777" w:rsidTr="007A6D1E">
        <w:trPr>
          <w:tblCellSpacing w:w="15" w:type="dxa"/>
        </w:trPr>
        <w:tc>
          <w:tcPr>
            <w:tcW w:w="3357" w:type="dxa"/>
            <w:gridSpan w:val="2"/>
            <w:vAlign w:val="center"/>
            <w:hideMark/>
          </w:tcPr>
          <w:p w14:paraId="49E82A7B" w14:textId="77777777" w:rsidR="00E70427" w:rsidRPr="00E70427" w:rsidRDefault="00E70427" w:rsidP="007A6D1E">
            <w:pPr>
              <w:ind w:left="360"/>
            </w:pPr>
            <w:r w:rsidRPr="00E70427">
              <w:t>Options</w:t>
            </w:r>
          </w:p>
        </w:tc>
        <w:tc>
          <w:tcPr>
            <w:tcW w:w="1940" w:type="dxa"/>
            <w:vAlign w:val="center"/>
            <w:hideMark/>
          </w:tcPr>
          <w:p w14:paraId="6AB28247" w14:textId="77777777" w:rsidR="00E70427" w:rsidRPr="00E70427" w:rsidRDefault="00E70427" w:rsidP="007A6D1E">
            <w:pPr>
              <w:ind w:left="360"/>
            </w:pPr>
            <w:r w:rsidRPr="00E70427">
              <w:t>86</w:t>
            </w:r>
          </w:p>
        </w:tc>
      </w:tr>
      <w:tr w:rsidR="00E70427" w:rsidRPr="00E70427" w14:paraId="5C76C582" w14:textId="77777777" w:rsidTr="007A6D1E">
        <w:trPr>
          <w:tblCellSpacing w:w="15" w:type="dxa"/>
        </w:trPr>
        <w:tc>
          <w:tcPr>
            <w:tcW w:w="3357" w:type="dxa"/>
            <w:gridSpan w:val="2"/>
            <w:vAlign w:val="center"/>
            <w:hideMark/>
          </w:tcPr>
          <w:p w14:paraId="0200BE1E" w14:textId="77777777" w:rsidR="00E70427" w:rsidRPr="00E70427" w:rsidRDefault="00E70427" w:rsidP="007A6D1E">
            <w:pPr>
              <w:ind w:left="360"/>
            </w:pPr>
            <w:r w:rsidRPr="00E70427">
              <w:t>Offshore Managed Funds</w:t>
            </w:r>
          </w:p>
        </w:tc>
        <w:tc>
          <w:tcPr>
            <w:tcW w:w="1940" w:type="dxa"/>
            <w:vAlign w:val="center"/>
            <w:hideMark/>
          </w:tcPr>
          <w:p w14:paraId="718A29E9" w14:textId="77777777" w:rsidR="00E70427" w:rsidRPr="00E70427" w:rsidRDefault="00E70427" w:rsidP="007A6D1E">
            <w:pPr>
              <w:ind w:left="360"/>
            </w:pPr>
            <w:r w:rsidRPr="00E70427">
              <w:t>37</w:t>
            </w:r>
          </w:p>
        </w:tc>
      </w:tr>
      <w:tr w:rsidR="00E70427" w:rsidRPr="00E70427" w14:paraId="6A09934A" w14:textId="77777777" w:rsidTr="007A6D1E">
        <w:trPr>
          <w:tblCellSpacing w:w="15" w:type="dxa"/>
        </w:trPr>
        <w:tc>
          <w:tcPr>
            <w:tcW w:w="3357" w:type="dxa"/>
            <w:gridSpan w:val="2"/>
            <w:vAlign w:val="center"/>
            <w:hideMark/>
          </w:tcPr>
          <w:p w14:paraId="5383F25A" w14:textId="77777777" w:rsidR="00E70427" w:rsidRPr="00E70427" w:rsidRDefault="00E70427" w:rsidP="007A6D1E">
            <w:pPr>
              <w:ind w:left="360"/>
            </w:pPr>
            <w:r w:rsidRPr="00E70427">
              <w:t>Currency</w:t>
            </w:r>
          </w:p>
        </w:tc>
        <w:tc>
          <w:tcPr>
            <w:tcW w:w="1940" w:type="dxa"/>
            <w:vAlign w:val="center"/>
            <w:hideMark/>
          </w:tcPr>
          <w:p w14:paraId="07F556A4" w14:textId="77777777" w:rsidR="00E70427" w:rsidRPr="00E70427" w:rsidRDefault="00E70427" w:rsidP="007A6D1E">
            <w:pPr>
              <w:ind w:left="360"/>
            </w:pPr>
            <w:r w:rsidRPr="00E70427">
              <w:t>21</w:t>
            </w:r>
          </w:p>
        </w:tc>
      </w:tr>
      <w:tr w:rsidR="00E70427" w:rsidRPr="00E70427" w14:paraId="1D7D4B67" w14:textId="77777777" w:rsidTr="007A6D1E">
        <w:trPr>
          <w:tblCellSpacing w:w="15" w:type="dxa"/>
        </w:trPr>
        <w:tc>
          <w:tcPr>
            <w:tcW w:w="3357" w:type="dxa"/>
            <w:gridSpan w:val="2"/>
            <w:vAlign w:val="center"/>
            <w:hideMark/>
          </w:tcPr>
          <w:p w14:paraId="0C646330" w14:textId="77777777" w:rsidR="00E70427" w:rsidRPr="00E70427" w:rsidRDefault="00E70427" w:rsidP="007A6D1E">
            <w:pPr>
              <w:ind w:left="360"/>
            </w:pPr>
            <w:r w:rsidRPr="00E70427">
              <w:t>Cash And Cash Equivalents</w:t>
            </w:r>
          </w:p>
        </w:tc>
        <w:tc>
          <w:tcPr>
            <w:tcW w:w="1940" w:type="dxa"/>
            <w:vAlign w:val="center"/>
            <w:hideMark/>
          </w:tcPr>
          <w:p w14:paraId="023DF219" w14:textId="77777777" w:rsidR="00E70427" w:rsidRPr="00E70427" w:rsidRDefault="00E70427" w:rsidP="007A6D1E">
            <w:pPr>
              <w:ind w:left="360"/>
            </w:pPr>
            <w:r w:rsidRPr="00E70427">
              <w:t>17</w:t>
            </w:r>
          </w:p>
        </w:tc>
      </w:tr>
      <w:tr w:rsidR="00E70427" w:rsidRPr="00E70427" w14:paraId="67FB7C41" w14:textId="77777777" w:rsidTr="007A6D1E">
        <w:trPr>
          <w:tblCellSpacing w:w="15" w:type="dxa"/>
        </w:trPr>
        <w:tc>
          <w:tcPr>
            <w:tcW w:w="3357" w:type="dxa"/>
            <w:gridSpan w:val="2"/>
            <w:vAlign w:val="center"/>
            <w:hideMark/>
          </w:tcPr>
          <w:p w14:paraId="6AC2693D" w14:textId="77777777" w:rsidR="00E70427" w:rsidRPr="00E70427" w:rsidRDefault="00E70427" w:rsidP="007A6D1E">
            <w:pPr>
              <w:ind w:left="360"/>
            </w:pPr>
            <w:r w:rsidRPr="00E70427">
              <w:t>Alternative Investments</w:t>
            </w:r>
          </w:p>
        </w:tc>
        <w:tc>
          <w:tcPr>
            <w:tcW w:w="1940" w:type="dxa"/>
            <w:vAlign w:val="center"/>
            <w:hideMark/>
          </w:tcPr>
          <w:p w14:paraId="3F4C2A31" w14:textId="77777777" w:rsidR="00E70427" w:rsidRPr="00E70427" w:rsidRDefault="00E70427" w:rsidP="007A6D1E">
            <w:pPr>
              <w:ind w:left="360"/>
            </w:pPr>
            <w:r w:rsidRPr="00E70427">
              <w:t>12</w:t>
            </w:r>
          </w:p>
        </w:tc>
      </w:tr>
      <w:tr w:rsidR="00E70427" w:rsidRPr="00E70427" w14:paraId="4BE2A51F" w14:textId="77777777" w:rsidTr="007A6D1E">
        <w:trPr>
          <w:tblCellSpacing w:w="15" w:type="dxa"/>
        </w:trPr>
        <w:tc>
          <w:tcPr>
            <w:tcW w:w="3357" w:type="dxa"/>
            <w:gridSpan w:val="2"/>
            <w:vAlign w:val="center"/>
            <w:hideMark/>
          </w:tcPr>
          <w:p w14:paraId="35DABD61" w14:textId="77777777" w:rsidR="00E70427" w:rsidRPr="00E70427" w:rsidRDefault="00E70427" w:rsidP="007A6D1E">
            <w:pPr>
              <w:ind w:left="360"/>
            </w:pPr>
            <w:proofErr w:type="spellStart"/>
            <w:r w:rsidRPr="00E70427">
              <w:t>Fx</w:t>
            </w:r>
            <w:proofErr w:type="spellEnd"/>
          </w:p>
        </w:tc>
        <w:tc>
          <w:tcPr>
            <w:tcW w:w="1940" w:type="dxa"/>
            <w:vAlign w:val="center"/>
            <w:hideMark/>
          </w:tcPr>
          <w:p w14:paraId="239FFE11" w14:textId="77777777" w:rsidR="00E70427" w:rsidRPr="00E70427" w:rsidRDefault="00E70427" w:rsidP="007A6D1E">
            <w:pPr>
              <w:ind w:left="360"/>
            </w:pPr>
            <w:r w:rsidRPr="00E70427">
              <w:t>10</w:t>
            </w:r>
          </w:p>
        </w:tc>
      </w:tr>
      <w:tr w:rsidR="00E70427" w:rsidRPr="00E70427" w14:paraId="2FDCE506" w14:textId="77777777" w:rsidTr="007A6D1E">
        <w:trPr>
          <w:tblCellSpacing w:w="15" w:type="dxa"/>
        </w:trPr>
        <w:tc>
          <w:tcPr>
            <w:tcW w:w="3357" w:type="dxa"/>
            <w:gridSpan w:val="2"/>
            <w:vAlign w:val="center"/>
            <w:hideMark/>
          </w:tcPr>
          <w:p w14:paraId="50E57306" w14:textId="77777777" w:rsidR="00E70427" w:rsidRPr="00E70427" w:rsidRDefault="00E70427" w:rsidP="007A6D1E">
            <w:pPr>
              <w:ind w:left="360"/>
            </w:pPr>
            <w:r w:rsidRPr="00E70427">
              <w:t>Others</w:t>
            </w:r>
          </w:p>
        </w:tc>
        <w:tc>
          <w:tcPr>
            <w:tcW w:w="1940" w:type="dxa"/>
            <w:vAlign w:val="center"/>
            <w:hideMark/>
          </w:tcPr>
          <w:p w14:paraId="0D7A8214" w14:textId="77777777" w:rsidR="00E70427" w:rsidRPr="00E70427" w:rsidRDefault="00E70427" w:rsidP="007A6D1E">
            <w:pPr>
              <w:ind w:left="360"/>
            </w:pPr>
            <w:r w:rsidRPr="00E70427">
              <w:t>8</w:t>
            </w:r>
          </w:p>
        </w:tc>
      </w:tr>
      <w:tr w:rsidR="00E70427" w:rsidRPr="00E70427" w14:paraId="1358066E" w14:textId="77777777" w:rsidTr="007A6D1E">
        <w:trPr>
          <w:tblCellSpacing w:w="15" w:type="dxa"/>
        </w:trPr>
        <w:tc>
          <w:tcPr>
            <w:tcW w:w="3357" w:type="dxa"/>
            <w:gridSpan w:val="2"/>
            <w:vAlign w:val="center"/>
            <w:hideMark/>
          </w:tcPr>
          <w:p w14:paraId="484AF404" w14:textId="77777777" w:rsidR="00E70427" w:rsidRPr="00E70427" w:rsidRDefault="00E70427" w:rsidP="007A6D1E">
            <w:pPr>
              <w:ind w:left="360"/>
            </w:pPr>
            <w:proofErr w:type="spellStart"/>
            <w:r w:rsidRPr="00E70427">
              <w:t>Swp</w:t>
            </w:r>
            <w:proofErr w:type="spellEnd"/>
          </w:p>
        </w:tc>
        <w:tc>
          <w:tcPr>
            <w:tcW w:w="1940" w:type="dxa"/>
            <w:vAlign w:val="center"/>
            <w:hideMark/>
          </w:tcPr>
          <w:p w14:paraId="7E801950" w14:textId="77777777" w:rsidR="00E70427" w:rsidRPr="00E70427" w:rsidRDefault="00E70427" w:rsidP="007A6D1E">
            <w:pPr>
              <w:ind w:left="360"/>
            </w:pPr>
            <w:r w:rsidRPr="00E70427">
              <w:t>4</w:t>
            </w:r>
          </w:p>
        </w:tc>
      </w:tr>
    </w:tbl>
    <w:p w14:paraId="58B1212B" w14:textId="77777777" w:rsidR="00F3336A" w:rsidRDefault="00F3336A" w:rsidP="007A6D1E"/>
    <w:p w14:paraId="43FE9F46" w14:textId="42D9F5AF" w:rsidR="00E70427" w:rsidRDefault="00E70427" w:rsidP="007A6D1E">
      <w:pPr>
        <w:pStyle w:val="Heading1"/>
        <w:ind w:left="360"/>
      </w:pPr>
      <w:r>
        <w:lastRenderedPageBreak/>
        <w:t>Key takeaways from meeting</w:t>
      </w:r>
    </w:p>
    <w:p w14:paraId="3141E0A0" w14:textId="6C3B7A2A" w:rsidR="00E70427" w:rsidRDefault="00E70427" w:rsidP="007A6D1E">
      <w:pPr>
        <w:pStyle w:val="ListParagraph"/>
      </w:pPr>
    </w:p>
    <w:p w14:paraId="75B8C879" w14:textId="3316C285" w:rsidR="00E70427" w:rsidRDefault="00E70427" w:rsidP="007A6D1E">
      <w:pPr>
        <w:ind w:left="360"/>
      </w:pPr>
      <w:r>
        <w:t xml:space="preserve">If no market instrument reference like </w:t>
      </w:r>
      <w:proofErr w:type="gramStart"/>
      <w:r>
        <w:t>ISIN,CUSIP</w:t>
      </w:r>
      <w:proofErr w:type="gramEnd"/>
      <w:r>
        <w:t xml:space="preserve">,SEDOL etc is missing, the asset it is treated as Non advisory and these are internal products. </w:t>
      </w:r>
    </w:p>
    <w:p w14:paraId="1CE18EE9" w14:textId="6AD0D991" w:rsidR="00E70427" w:rsidRDefault="00E70427" w:rsidP="007A6D1E">
      <w:pPr>
        <w:ind w:left="360"/>
      </w:pPr>
      <w:r>
        <w:t>Internal products are not tagged by Blackrock, SMART tags these assets based done Asset Classification Product Guidelines</w:t>
      </w:r>
    </w:p>
    <w:p w14:paraId="0EE8D27E" w14:textId="70B8B65A" w:rsidR="00E70427" w:rsidRDefault="00E70427" w:rsidP="007A6D1E">
      <w:pPr>
        <w:ind w:left="360"/>
      </w:pPr>
      <w:r>
        <w:t xml:space="preserve">Blackrock rules </w:t>
      </w:r>
      <w:proofErr w:type="gramStart"/>
      <w:r>
        <w:t>overrides</w:t>
      </w:r>
      <w:proofErr w:type="gramEnd"/>
      <w:r>
        <w:t xml:space="preserve"> SMART classification rules</w:t>
      </w:r>
    </w:p>
    <w:p w14:paraId="0C339460" w14:textId="787D83C7" w:rsidR="00E70427" w:rsidRDefault="00E70427" w:rsidP="007A6D1E">
      <w:pPr>
        <w:ind w:left="360"/>
      </w:pPr>
      <w:r>
        <w:t xml:space="preserve">SMART output data is the most comprehensive data set that includes </w:t>
      </w:r>
      <w:proofErr w:type="spellStart"/>
      <w:r>
        <w:t>Balckrock</w:t>
      </w:r>
      <w:proofErr w:type="spellEnd"/>
      <w:r>
        <w:t xml:space="preserve"> and user overrides.</w:t>
      </w:r>
    </w:p>
    <w:p w14:paraId="54E3AD0E" w14:textId="77777777" w:rsidR="00E70427" w:rsidRPr="00E70427" w:rsidRDefault="00E70427" w:rsidP="007A6D1E">
      <w:pPr>
        <w:ind w:left="360"/>
      </w:pPr>
    </w:p>
    <w:p w14:paraId="6E47A195" w14:textId="1A337AE7" w:rsidR="00F3336A" w:rsidRDefault="00F3336A" w:rsidP="007A6D1E">
      <w:pPr>
        <w:pStyle w:val="Heading1"/>
        <w:ind w:left="360"/>
      </w:pPr>
      <w:r>
        <w:t>Documentation to self</w:t>
      </w:r>
    </w:p>
    <w:p w14:paraId="6A628295" w14:textId="5F640AD0" w:rsidR="000E3671" w:rsidRPr="007A6D1E" w:rsidRDefault="000E3671" w:rsidP="007A6D1E">
      <w:pPr>
        <w:ind w:left="360"/>
        <w:rPr>
          <w:b/>
          <w:bCs/>
        </w:rPr>
      </w:pPr>
      <w:r w:rsidRPr="007A6D1E">
        <w:rPr>
          <w:b/>
          <w:bCs/>
        </w:rPr>
        <w:t>Drop</w:t>
      </w:r>
      <w:r w:rsidRPr="007A6D1E">
        <w:rPr>
          <w:b/>
          <w:bCs/>
        </w:rPr>
        <w:t xml:space="preserve"> Columns </w:t>
      </w:r>
      <w:r w:rsidRPr="000E3671">
        <w:t>with more than 90% missing values to maintain relevant features.</w:t>
      </w:r>
    </w:p>
    <w:p w14:paraId="60388557" w14:textId="5DD726E7" w:rsidR="000E3671" w:rsidRPr="000E3671" w:rsidRDefault="000E3671" w:rsidP="007A6D1E">
      <w:pPr>
        <w:ind w:left="360"/>
      </w:pPr>
      <w:r w:rsidRPr="007A6D1E">
        <w:rPr>
          <w:b/>
          <w:bCs/>
        </w:rPr>
        <w:t xml:space="preserve">Categorical columns: </w:t>
      </w:r>
      <w:r w:rsidRPr="000E3671">
        <w:t>Missing values were filled with "Unknown".</w:t>
      </w:r>
    </w:p>
    <w:p w14:paraId="5B91070B" w14:textId="77777777" w:rsidR="000E3671" w:rsidRPr="000E3671" w:rsidRDefault="000E3671" w:rsidP="007A6D1E">
      <w:pPr>
        <w:ind w:left="360"/>
      </w:pPr>
      <w:r w:rsidRPr="007A6D1E">
        <w:rPr>
          <w:b/>
          <w:bCs/>
        </w:rPr>
        <w:t xml:space="preserve">Numerical columns: </w:t>
      </w:r>
      <w:r w:rsidRPr="000E3671">
        <w:t>Missing values were filled with the median.</w:t>
      </w:r>
      <w:r w:rsidRPr="000E3671">
        <w:t xml:space="preserve"> </w:t>
      </w:r>
      <w:r w:rsidR="00F3336A" w:rsidRPr="00F3336A">
        <w:t xml:space="preserve">Model Approach </w:t>
      </w:r>
    </w:p>
    <w:p w14:paraId="471DBC5C" w14:textId="77777777" w:rsidR="000E3671" w:rsidRDefault="000E3671" w:rsidP="007A6D1E">
      <w:pPr>
        <w:rPr>
          <w:b/>
          <w:bCs/>
        </w:rPr>
      </w:pPr>
    </w:p>
    <w:p w14:paraId="78CC8FF8" w14:textId="77777777" w:rsidR="000E3671" w:rsidRDefault="000E3671" w:rsidP="007A6D1E">
      <w:pPr>
        <w:rPr>
          <w:b/>
          <w:bCs/>
        </w:rPr>
      </w:pPr>
    </w:p>
    <w:p w14:paraId="784BC287" w14:textId="5AD0013E" w:rsidR="00F3336A" w:rsidRPr="007A6D1E" w:rsidRDefault="00F3336A" w:rsidP="007A6D1E">
      <w:pPr>
        <w:ind w:left="360"/>
        <w:rPr>
          <w:b/>
          <w:bCs/>
        </w:rPr>
      </w:pPr>
      <w:r w:rsidRPr="007A6D1E">
        <w:rPr>
          <w:b/>
          <w:bCs/>
        </w:rPr>
        <w:t>Used:</w:t>
      </w:r>
    </w:p>
    <w:p w14:paraId="0D72A657" w14:textId="77777777" w:rsidR="00F3336A" w:rsidRPr="00F3336A" w:rsidRDefault="00F3336A" w:rsidP="007A6D1E">
      <w:pPr>
        <w:ind w:left="360"/>
      </w:pPr>
      <w:r w:rsidRPr="00F3336A">
        <w:rPr>
          <w:b/>
          <w:bCs/>
        </w:rPr>
        <w:t>Initial Asset Class Tagging</w:t>
      </w:r>
      <w:r w:rsidRPr="00F3336A">
        <w:t>:</w:t>
      </w:r>
    </w:p>
    <w:p w14:paraId="0263FD4C" w14:textId="77777777" w:rsidR="00F3336A" w:rsidRPr="00F3336A" w:rsidRDefault="00F3336A" w:rsidP="007A6D1E">
      <w:pPr>
        <w:ind w:left="360"/>
      </w:pPr>
      <w:r w:rsidRPr="00F3336A">
        <w:t>We used a simple rule-based tagging model based on keywords extracted from relevant columns (e.g., blackrock_asset_class_level_1, blackrock_asset_class_level_2, etc.) in the training dataset. This mapped detailed classifications to broader categories such as "Hedge Fund", "Alternatives", "Equities", and "Fixed Income."</w:t>
      </w:r>
    </w:p>
    <w:p w14:paraId="50F90E19" w14:textId="77777777" w:rsidR="00F3336A" w:rsidRPr="00F3336A" w:rsidRDefault="00F3336A" w:rsidP="007A6D1E">
      <w:pPr>
        <w:ind w:left="360"/>
      </w:pPr>
      <w:r w:rsidRPr="00F3336A">
        <w:rPr>
          <w:b/>
          <w:bCs/>
        </w:rPr>
        <w:t>Refined Tagging</w:t>
      </w:r>
      <w:r w:rsidRPr="00F3336A">
        <w:t>:</w:t>
      </w:r>
    </w:p>
    <w:p w14:paraId="7D9EA57B" w14:textId="77777777" w:rsidR="00F3336A" w:rsidRPr="00F3336A" w:rsidRDefault="00F3336A" w:rsidP="007A6D1E">
      <w:pPr>
        <w:ind w:left="360"/>
      </w:pPr>
      <w:r w:rsidRPr="00F3336A">
        <w:t>To improve tagging for the US input dataset, we expanded the classification to consider more columns (e.g., CLIENT_ASSET_CLASS, CLIENT_PRODUCT_TYPE, HEDGE_FUND_STRATEGY, and others).</w:t>
      </w:r>
    </w:p>
    <w:p w14:paraId="4A3F4CB4" w14:textId="77777777" w:rsidR="00F3336A" w:rsidRPr="00F3336A" w:rsidRDefault="00F3336A" w:rsidP="007A6D1E">
      <w:pPr>
        <w:ind w:left="360"/>
      </w:pPr>
      <w:r w:rsidRPr="00F3336A">
        <w:t xml:space="preserve">We applied a </w:t>
      </w:r>
      <w:r w:rsidRPr="00F3336A">
        <w:rPr>
          <w:b/>
          <w:bCs/>
        </w:rPr>
        <w:t>rule-based mapping</w:t>
      </w:r>
      <w:r w:rsidRPr="00F3336A">
        <w:t xml:space="preserve"> using keyword searches within these columns to assign a more specific tag (e.g., entries with "</w:t>
      </w:r>
      <w:proofErr w:type="spellStart"/>
      <w:r w:rsidRPr="00F3336A">
        <w:t>Swp</w:t>
      </w:r>
      <w:proofErr w:type="spellEnd"/>
      <w:r w:rsidRPr="00F3336A">
        <w:t>" were tagged as "Swaps", "Options" were correctly identified, etc.).</w:t>
      </w:r>
    </w:p>
    <w:p w14:paraId="796E7A51" w14:textId="77777777" w:rsidR="00F3336A" w:rsidRPr="00F3336A" w:rsidRDefault="00F3336A" w:rsidP="007A6D1E">
      <w:pPr>
        <w:ind w:left="360"/>
      </w:pPr>
      <w:r w:rsidRPr="00F3336A">
        <w:rPr>
          <w:b/>
          <w:bCs/>
        </w:rPr>
        <w:t>Handling "Other" Cases</w:t>
      </w:r>
      <w:r w:rsidRPr="00F3336A">
        <w:t>:</w:t>
      </w:r>
    </w:p>
    <w:p w14:paraId="1E5768F8" w14:textId="77777777" w:rsidR="00F3336A" w:rsidRPr="00F3336A" w:rsidRDefault="00F3336A" w:rsidP="007A6D1E">
      <w:pPr>
        <w:ind w:left="360"/>
      </w:pPr>
      <w:r w:rsidRPr="00F3336A">
        <w:t>Entries with incomplete or ambiguous classifications (like "Unknown" or missing data) were tagged as "Other."</w:t>
      </w:r>
    </w:p>
    <w:p w14:paraId="1A62A92B" w14:textId="77777777" w:rsidR="00F3336A" w:rsidRPr="007A6D1E" w:rsidRDefault="00F3336A" w:rsidP="007A6D1E">
      <w:pPr>
        <w:ind w:left="360"/>
        <w:rPr>
          <w:b/>
          <w:bCs/>
        </w:rPr>
      </w:pPr>
      <w:r w:rsidRPr="007A6D1E">
        <w:rPr>
          <w:b/>
          <w:bCs/>
        </w:rPr>
        <w:t>Potential Next Steps:</w:t>
      </w:r>
    </w:p>
    <w:p w14:paraId="56009D81" w14:textId="77777777" w:rsidR="00F3336A" w:rsidRPr="00F3336A" w:rsidRDefault="00F3336A" w:rsidP="007A6D1E">
      <w:pPr>
        <w:ind w:left="360"/>
      </w:pPr>
      <w:r w:rsidRPr="00F3336A">
        <w:rPr>
          <w:b/>
          <w:bCs/>
        </w:rPr>
        <w:t>Further Refinement</w:t>
      </w:r>
      <w:r w:rsidRPr="00F3336A">
        <w:t>: The tagging process could be enhanced using more sophisticated techniques, such as Natural Language Processing (NLP) to handle edge cases or applying machine learning models to predict asset classes based on available features.</w:t>
      </w:r>
    </w:p>
    <w:p w14:paraId="70A73141" w14:textId="77777777" w:rsidR="00F3336A" w:rsidRPr="00F3336A" w:rsidRDefault="00F3336A" w:rsidP="007A6D1E">
      <w:pPr>
        <w:ind w:left="360"/>
      </w:pPr>
      <w:r w:rsidRPr="00F3336A">
        <w:rPr>
          <w:b/>
          <w:bCs/>
        </w:rPr>
        <w:t>Imputation</w:t>
      </w:r>
      <w:r w:rsidRPr="00F3336A">
        <w:t>: Missing values in key columns could be imputed using predictive models, which might improve the classification further.</w:t>
      </w:r>
    </w:p>
    <w:p w14:paraId="52A66352" w14:textId="77777777" w:rsidR="00F3336A" w:rsidRDefault="00F3336A" w:rsidP="007A6D1E"/>
    <w:p w14:paraId="706615CC" w14:textId="77777777" w:rsidR="007A6D1E" w:rsidRDefault="007A6D1E" w:rsidP="007A6D1E">
      <w:pPr>
        <w:pStyle w:val="Heading1"/>
      </w:pPr>
    </w:p>
    <w:p w14:paraId="2BC225AA" w14:textId="77777777" w:rsidR="007A6D1E" w:rsidRDefault="007A6D1E" w:rsidP="007A6D1E">
      <w:pPr>
        <w:pStyle w:val="Heading1"/>
        <w:ind w:left="360"/>
      </w:pPr>
    </w:p>
    <w:p w14:paraId="4AC57B09" w14:textId="692AD88A" w:rsidR="00F3336A" w:rsidRDefault="007A6D1E" w:rsidP="007A6D1E">
      <w:pPr>
        <w:pStyle w:val="Heading1"/>
        <w:ind w:left="360"/>
      </w:pPr>
      <w:r>
        <w:t>Decision Tree Workflow and results</w:t>
      </w:r>
    </w:p>
    <w:p w14:paraId="6F08642A" w14:textId="77777777" w:rsidR="007A6D1E" w:rsidRDefault="007A6D1E" w:rsidP="007A6D1E"/>
    <w:p w14:paraId="38AB081F" w14:textId="77777777" w:rsidR="007A6D1E" w:rsidRDefault="007A6D1E" w:rsidP="007A6D1E"/>
    <w:p w14:paraId="4194635B" w14:textId="77777777" w:rsidR="007A6D1E" w:rsidRDefault="007A6D1E" w:rsidP="007A6D1E"/>
    <w:p w14:paraId="477C0AFF" w14:textId="2BEE5F22" w:rsidR="007A6D1E" w:rsidRDefault="007A6D1E" w:rsidP="007A6D1E">
      <w:pPr>
        <w:pStyle w:val="Subtitle"/>
        <w:numPr>
          <w:ilvl w:val="0"/>
          <w:numId w:val="0"/>
        </w:numPr>
        <w:ind w:left="360"/>
      </w:pPr>
      <w:r>
        <w:t>Patterns and Insights</w:t>
      </w:r>
    </w:p>
    <w:p w14:paraId="4FC7B85F" w14:textId="77777777" w:rsidR="007A6D1E" w:rsidRDefault="007A6D1E" w:rsidP="007A6D1E"/>
    <w:p w14:paraId="38014D42" w14:textId="77777777" w:rsidR="007A6D1E" w:rsidRDefault="007A6D1E" w:rsidP="007A6D1E">
      <w:pPr>
        <w:pStyle w:val="ListParagraph"/>
        <w:numPr>
          <w:ilvl w:val="0"/>
          <w:numId w:val="37"/>
        </w:numPr>
        <w:rPr>
          <w:b/>
          <w:bCs/>
        </w:rPr>
      </w:pPr>
      <w:r w:rsidRPr="007A6D1E">
        <w:rPr>
          <w:b/>
          <w:bCs/>
        </w:rPr>
        <w:t>Product Types and Descriptive Terms:</w:t>
      </w:r>
    </w:p>
    <w:p w14:paraId="1C2C439E" w14:textId="77777777" w:rsidR="007A6D1E" w:rsidRPr="007A6D1E" w:rsidRDefault="007A6D1E" w:rsidP="007A6D1E">
      <w:pPr>
        <w:rPr>
          <w:b/>
          <w:bCs/>
        </w:rPr>
      </w:pPr>
    </w:p>
    <w:p w14:paraId="24FDA61C" w14:textId="77777777" w:rsidR="007A6D1E" w:rsidRPr="007A6D1E" w:rsidRDefault="007A6D1E" w:rsidP="007A6D1E">
      <w:pPr>
        <w:numPr>
          <w:ilvl w:val="0"/>
          <w:numId w:val="27"/>
        </w:numPr>
      </w:pPr>
      <w:r w:rsidRPr="007A6D1E">
        <w:rPr>
          <w:b/>
          <w:bCs/>
        </w:rPr>
        <w:t>Structured Products</w:t>
      </w:r>
      <w:r w:rsidRPr="007A6D1E">
        <w:t xml:space="preserve"> often include words like </w:t>
      </w:r>
      <w:r w:rsidRPr="007A6D1E">
        <w:rPr>
          <w:b/>
          <w:bCs/>
        </w:rPr>
        <w:t>"phoenix"</w:t>
      </w:r>
      <w:r w:rsidRPr="007A6D1E">
        <w:t xml:space="preserve">, </w:t>
      </w:r>
      <w:r w:rsidRPr="007A6D1E">
        <w:rPr>
          <w:b/>
          <w:bCs/>
        </w:rPr>
        <w:t>"dual currency"</w:t>
      </w:r>
      <w:r w:rsidRPr="007A6D1E">
        <w:t xml:space="preserve">, and terms like </w:t>
      </w:r>
      <w:r w:rsidRPr="007A6D1E">
        <w:rPr>
          <w:b/>
          <w:bCs/>
        </w:rPr>
        <w:t>"callable"</w:t>
      </w:r>
      <w:r w:rsidRPr="007A6D1E">
        <w:t xml:space="preserve"> or </w:t>
      </w:r>
      <w:r w:rsidRPr="007A6D1E">
        <w:rPr>
          <w:b/>
          <w:bCs/>
        </w:rPr>
        <w:t>"linked"</w:t>
      </w:r>
      <w:r w:rsidRPr="007A6D1E">
        <w:t>, indicating complex financial instruments.</w:t>
      </w:r>
    </w:p>
    <w:p w14:paraId="31DA3E70" w14:textId="77777777" w:rsidR="007A6D1E" w:rsidRPr="007A6D1E" w:rsidRDefault="007A6D1E" w:rsidP="007A6D1E">
      <w:pPr>
        <w:numPr>
          <w:ilvl w:val="0"/>
          <w:numId w:val="27"/>
        </w:numPr>
      </w:pPr>
      <w:r w:rsidRPr="007A6D1E">
        <w:rPr>
          <w:b/>
          <w:bCs/>
        </w:rPr>
        <w:t>Single Line Fixed Income</w:t>
      </w:r>
      <w:r w:rsidRPr="007A6D1E">
        <w:t xml:space="preserve"> products commonly include terms such as </w:t>
      </w:r>
      <w:r w:rsidRPr="007A6D1E">
        <w:rPr>
          <w:b/>
          <w:bCs/>
        </w:rPr>
        <w:t>"bonds"</w:t>
      </w:r>
      <w:r w:rsidRPr="007A6D1E">
        <w:t xml:space="preserve">, </w:t>
      </w:r>
      <w:r w:rsidRPr="007A6D1E">
        <w:rPr>
          <w:b/>
          <w:bCs/>
        </w:rPr>
        <w:t>"term"</w:t>
      </w:r>
      <w:r w:rsidRPr="007A6D1E">
        <w:t xml:space="preserve">, and specific coupon rates (e.g., </w:t>
      </w:r>
      <w:r w:rsidRPr="007A6D1E">
        <w:rPr>
          <w:b/>
          <w:bCs/>
        </w:rPr>
        <w:t>"5%"</w:t>
      </w:r>
      <w:r w:rsidRPr="007A6D1E">
        <w:t xml:space="preserve">, </w:t>
      </w:r>
      <w:r w:rsidRPr="007A6D1E">
        <w:rPr>
          <w:b/>
          <w:bCs/>
        </w:rPr>
        <w:t>"3%"</w:t>
      </w:r>
      <w:r w:rsidRPr="007A6D1E">
        <w:t>), pointing to predictable income structures.</w:t>
      </w:r>
    </w:p>
    <w:p w14:paraId="1C9A265B" w14:textId="01173568" w:rsidR="007A6D1E" w:rsidRPr="007A6D1E" w:rsidRDefault="007A6D1E" w:rsidP="007A6D1E">
      <w:pPr>
        <w:pStyle w:val="ListParagraph"/>
        <w:numPr>
          <w:ilvl w:val="0"/>
          <w:numId w:val="37"/>
        </w:numPr>
        <w:rPr>
          <w:b/>
          <w:bCs/>
        </w:rPr>
      </w:pPr>
      <w:r w:rsidRPr="007A6D1E">
        <w:rPr>
          <w:b/>
          <w:bCs/>
        </w:rPr>
        <w:t>Issuer and Product Correlation:</w:t>
      </w:r>
    </w:p>
    <w:p w14:paraId="429C4BDD" w14:textId="77777777" w:rsidR="007A6D1E" w:rsidRPr="007A6D1E" w:rsidRDefault="007A6D1E" w:rsidP="007A6D1E">
      <w:pPr>
        <w:rPr>
          <w:b/>
          <w:bCs/>
        </w:rPr>
      </w:pPr>
    </w:p>
    <w:p w14:paraId="60BE3877" w14:textId="77777777" w:rsidR="007A6D1E" w:rsidRPr="007A6D1E" w:rsidRDefault="007A6D1E" w:rsidP="007A6D1E">
      <w:pPr>
        <w:numPr>
          <w:ilvl w:val="0"/>
          <w:numId w:val="28"/>
        </w:numPr>
      </w:pPr>
      <w:r w:rsidRPr="007A6D1E">
        <w:t xml:space="preserve">Certain issuers, such as </w:t>
      </w:r>
      <w:r w:rsidRPr="007A6D1E">
        <w:rPr>
          <w:b/>
          <w:bCs/>
        </w:rPr>
        <w:t>HSBC</w:t>
      </w:r>
      <w:r w:rsidRPr="007A6D1E">
        <w:t xml:space="preserve"> or </w:t>
      </w:r>
      <w:r w:rsidRPr="007A6D1E">
        <w:rPr>
          <w:b/>
          <w:bCs/>
        </w:rPr>
        <w:t>BlackRock</w:t>
      </w:r>
      <w:r w:rsidRPr="007A6D1E">
        <w:t>, are more frequently associated with structured or alternative products. This might suggest a pattern where the issuer is tied to the type of financial product.</w:t>
      </w:r>
    </w:p>
    <w:p w14:paraId="7C890B0A" w14:textId="77777777" w:rsidR="007A6D1E" w:rsidRPr="007A6D1E" w:rsidRDefault="007A6D1E" w:rsidP="007A6D1E">
      <w:pPr>
        <w:numPr>
          <w:ilvl w:val="0"/>
          <w:numId w:val="28"/>
        </w:numPr>
      </w:pPr>
      <w:r w:rsidRPr="007A6D1E">
        <w:rPr>
          <w:b/>
          <w:bCs/>
        </w:rPr>
        <w:t>"HSBC"</w:t>
      </w:r>
      <w:r w:rsidRPr="007A6D1E">
        <w:t xml:space="preserve"> often correlates with </w:t>
      </w:r>
      <w:r w:rsidRPr="007A6D1E">
        <w:rPr>
          <w:b/>
          <w:bCs/>
        </w:rPr>
        <w:t>Structured Products</w:t>
      </w:r>
      <w:r w:rsidRPr="007A6D1E">
        <w:t xml:space="preserve">, while </w:t>
      </w:r>
      <w:r w:rsidRPr="007A6D1E">
        <w:rPr>
          <w:b/>
          <w:bCs/>
        </w:rPr>
        <w:t>"BlackRock"</w:t>
      </w:r>
      <w:r w:rsidRPr="007A6D1E">
        <w:t xml:space="preserve"> is more associated with </w:t>
      </w:r>
      <w:r w:rsidRPr="007A6D1E">
        <w:rPr>
          <w:b/>
          <w:bCs/>
        </w:rPr>
        <w:t>Alternatives</w:t>
      </w:r>
      <w:r w:rsidRPr="007A6D1E">
        <w:t xml:space="preserve"> or </w:t>
      </w:r>
      <w:r w:rsidRPr="007A6D1E">
        <w:rPr>
          <w:b/>
          <w:bCs/>
        </w:rPr>
        <w:t>Hedge Funds</w:t>
      </w:r>
      <w:r w:rsidRPr="007A6D1E">
        <w:t>.</w:t>
      </w:r>
    </w:p>
    <w:p w14:paraId="3079685C" w14:textId="57E38FC6" w:rsidR="007A6D1E" w:rsidRPr="007A6D1E" w:rsidRDefault="007A6D1E" w:rsidP="007A6D1E">
      <w:pPr>
        <w:pStyle w:val="ListParagraph"/>
        <w:numPr>
          <w:ilvl w:val="0"/>
          <w:numId w:val="37"/>
        </w:numPr>
        <w:rPr>
          <w:b/>
          <w:bCs/>
        </w:rPr>
      </w:pPr>
      <w:r w:rsidRPr="007A6D1E">
        <w:rPr>
          <w:b/>
          <w:bCs/>
        </w:rPr>
        <w:t>Country/Region-Specific Patterns:</w:t>
      </w:r>
    </w:p>
    <w:p w14:paraId="27F75E26" w14:textId="77777777" w:rsidR="007A6D1E" w:rsidRPr="007A6D1E" w:rsidRDefault="007A6D1E" w:rsidP="007A6D1E">
      <w:pPr>
        <w:rPr>
          <w:b/>
          <w:bCs/>
        </w:rPr>
      </w:pPr>
    </w:p>
    <w:p w14:paraId="3CA5504A" w14:textId="77777777" w:rsidR="007A6D1E" w:rsidRPr="007A6D1E" w:rsidRDefault="007A6D1E" w:rsidP="007A6D1E">
      <w:pPr>
        <w:numPr>
          <w:ilvl w:val="0"/>
          <w:numId w:val="29"/>
        </w:numPr>
      </w:pPr>
      <w:r w:rsidRPr="007A6D1E">
        <w:rPr>
          <w:b/>
          <w:bCs/>
        </w:rPr>
        <w:t>Latin America</w:t>
      </w:r>
      <w:r w:rsidRPr="007A6D1E">
        <w:t xml:space="preserve"> and </w:t>
      </w:r>
      <w:r w:rsidRPr="007A6D1E">
        <w:rPr>
          <w:b/>
          <w:bCs/>
        </w:rPr>
        <w:t>Emerging Markets</w:t>
      </w:r>
      <w:r w:rsidRPr="007A6D1E">
        <w:t xml:space="preserve"> appear frequently in conjunction with fixed-income products, especially </w:t>
      </w:r>
      <w:r w:rsidRPr="007A6D1E">
        <w:rPr>
          <w:b/>
          <w:bCs/>
        </w:rPr>
        <w:t>emerging market debt</w:t>
      </w:r>
      <w:r w:rsidRPr="007A6D1E">
        <w:t>. This suggests that the region plays a role in identifying product types.</w:t>
      </w:r>
    </w:p>
    <w:p w14:paraId="2D05E992" w14:textId="77777777" w:rsidR="007A6D1E" w:rsidRPr="007A6D1E" w:rsidRDefault="007A6D1E" w:rsidP="007A6D1E">
      <w:pPr>
        <w:numPr>
          <w:ilvl w:val="0"/>
          <w:numId w:val="29"/>
        </w:numPr>
      </w:pPr>
      <w:r w:rsidRPr="007A6D1E">
        <w:t xml:space="preserve">The region </w:t>
      </w:r>
      <w:r w:rsidRPr="007A6D1E">
        <w:rPr>
          <w:b/>
          <w:bCs/>
        </w:rPr>
        <w:t>Others</w:t>
      </w:r>
      <w:r w:rsidRPr="007A6D1E">
        <w:t xml:space="preserve"> (often meaning a non-specific or global market) appears more in hedge funds and alternative investment products.</w:t>
      </w:r>
    </w:p>
    <w:p w14:paraId="56DE52D7" w14:textId="77777777" w:rsidR="007A6D1E" w:rsidRPr="007A6D1E" w:rsidRDefault="007A6D1E" w:rsidP="007A6D1E">
      <w:pPr>
        <w:rPr>
          <w:b/>
          <w:bCs/>
        </w:rPr>
      </w:pPr>
      <w:r w:rsidRPr="007A6D1E">
        <w:rPr>
          <w:b/>
          <w:bCs/>
        </w:rPr>
        <w:t>4. Numerical Associations:</w:t>
      </w:r>
    </w:p>
    <w:p w14:paraId="2A1CE2EA" w14:textId="77777777" w:rsidR="007A6D1E" w:rsidRPr="007A6D1E" w:rsidRDefault="007A6D1E" w:rsidP="007A6D1E">
      <w:pPr>
        <w:numPr>
          <w:ilvl w:val="0"/>
          <w:numId w:val="30"/>
        </w:numPr>
      </w:pPr>
      <w:r w:rsidRPr="007A6D1E">
        <w:t xml:space="preserve">Specific numbers, such as </w:t>
      </w:r>
      <w:r w:rsidRPr="007A6D1E">
        <w:rPr>
          <w:b/>
          <w:bCs/>
        </w:rPr>
        <w:t>10</w:t>
      </w:r>
      <w:r w:rsidRPr="007A6D1E">
        <w:t xml:space="preserve">, </w:t>
      </w:r>
      <w:r w:rsidRPr="007A6D1E">
        <w:rPr>
          <w:b/>
          <w:bCs/>
        </w:rPr>
        <w:t>15</w:t>
      </w:r>
      <w:r w:rsidRPr="007A6D1E">
        <w:t xml:space="preserve">, </w:t>
      </w:r>
      <w:r w:rsidRPr="007A6D1E">
        <w:rPr>
          <w:b/>
          <w:bCs/>
        </w:rPr>
        <w:t>25</w:t>
      </w:r>
      <w:r w:rsidRPr="007A6D1E">
        <w:t xml:space="preserve">, and </w:t>
      </w:r>
      <w:r w:rsidRPr="007A6D1E">
        <w:rPr>
          <w:b/>
          <w:bCs/>
        </w:rPr>
        <w:t>75</w:t>
      </w:r>
      <w:r w:rsidRPr="007A6D1E">
        <w:t>, are repeated in the dataset, especially linked to bond terms or percentages. These may represent coupon rates, terms of maturity, or thresholds used in structuring financial products.</w:t>
      </w:r>
    </w:p>
    <w:p w14:paraId="3139F88F" w14:textId="77777777" w:rsidR="007A6D1E" w:rsidRPr="007A6D1E" w:rsidRDefault="007A6D1E" w:rsidP="007A6D1E">
      <w:pPr>
        <w:numPr>
          <w:ilvl w:val="0"/>
          <w:numId w:val="30"/>
        </w:numPr>
      </w:pPr>
      <w:r w:rsidRPr="007A6D1E">
        <w:t xml:space="preserve">For instance, products containing </w:t>
      </w:r>
      <w:r w:rsidRPr="007A6D1E">
        <w:rPr>
          <w:b/>
          <w:bCs/>
        </w:rPr>
        <w:t>"25"</w:t>
      </w:r>
      <w:r w:rsidRPr="007A6D1E">
        <w:t xml:space="preserve"> or </w:t>
      </w:r>
      <w:r w:rsidRPr="007A6D1E">
        <w:rPr>
          <w:b/>
          <w:bCs/>
        </w:rPr>
        <w:t>"75"</w:t>
      </w:r>
      <w:r w:rsidRPr="007A6D1E">
        <w:t xml:space="preserve"> may indicate bond coupon rates, maturity periods, or specific pricing strategies, which can be associated with </w:t>
      </w:r>
      <w:r w:rsidRPr="007A6D1E">
        <w:rPr>
          <w:b/>
          <w:bCs/>
        </w:rPr>
        <w:t>Single Line Fixed Income</w:t>
      </w:r>
      <w:r w:rsidRPr="007A6D1E">
        <w:t xml:space="preserve"> products.</w:t>
      </w:r>
    </w:p>
    <w:p w14:paraId="18015FB7" w14:textId="77777777" w:rsidR="007A6D1E" w:rsidRPr="007A6D1E" w:rsidRDefault="007A6D1E" w:rsidP="007A6D1E">
      <w:pPr>
        <w:rPr>
          <w:b/>
          <w:bCs/>
        </w:rPr>
      </w:pPr>
      <w:r w:rsidRPr="007A6D1E">
        <w:rPr>
          <w:b/>
          <w:bCs/>
        </w:rPr>
        <w:t>5. Multi-Level Asset Classes:</w:t>
      </w:r>
    </w:p>
    <w:p w14:paraId="07C1BA30" w14:textId="77777777" w:rsidR="007A6D1E" w:rsidRPr="007A6D1E" w:rsidRDefault="007A6D1E" w:rsidP="007A6D1E">
      <w:pPr>
        <w:numPr>
          <w:ilvl w:val="0"/>
          <w:numId w:val="31"/>
        </w:numPr>
      </w:pPr>
      <w:r w:rsidRPr="007A6D1E">
        <w:rPr>
          <w:b/>
          <w:bCs/>
        </w:rPr>
        <w:t>Hedge Fund Strategies</w:t>
      </w:r>
      <w:r w:rsidRPr="007A6D1E">
        <w:t xml:space="preserve"> and </w:t>
      </w:r>
      <w:r w:rsidRPr="007A6D1E">
        <w:rPr>
          <w:b/>
          <w:bCs/>
        </w:rPr>
        <w:t>Private Equity</w:t>
      </w:r>
      <w:r w:rsidRPr="007A6D1E">
        <w:t xml:space="preserve"> products tend to have multi-level classifications, where they appear under broad categories such as </w:t>
      </w:r>
      <w:r w:rsidRPr="007A6D1E">
        <w:rPr>
          <w:b/>
          <w:bCs/>
        </w:rPr>
        <w:t>Alternatives</w:t>
      </w:r>
      <w:r w:rsidRPr="007A6D1E">
        <w:t xml:space="preserve"> but are sub-classified based on specific strategies like </w:t>
      </w:r>
      <w:r w:rsidRPr="007A6D1E">
        <w:rPr>
          <w:b/>
          <w:bCs/>
        </w:rPr>
        <w:t>"macro"</w:t>
      </w:r>
      <w:r w:rsidRPr="007A6D1E">
        <w:t xml:space="preserve"> or </w:t>
      </w:r>
      <w:r w:rsidRPr="007A6D1E">
        <w:rPr>
          <w:b/>
          <w:bCs/>
        </w:rPr>
        <w:t>"multi-strategy"</w:t>
      </w:r>
      <w:r w:rsidRPr="007A6D1E">
        <w:t>.</w:t>
      </w:r>
    </w:p>
    <w:p w14:paraId="2E107A96" w14:textId="77777777" w:rsidR="007A6D1E" w:rsidRPr="007A6D1E" w:rsidRDefault="007A6D1E" w:rsidP="007A6D1E">
      <w:pPr>
        <w:numPr>
          <w:ilvl w:val="0"/>
          <w:numId w:val="31"/>
        </w:numPr>
      </w:pPr>
      <w:r w:rsidRPr="007A6D1E">
        <w:t>The repetition of "Others" across categories suggests that some products, though complex, are broadly grouped into a high-level classification due to lack of more detailed tagging.</w:t>
      </w:r>
    </w:p>
    <w:p w14:paraId="6F426B61" w14:textId="77777777" w:rsidR="007A6D1E" w:rsidRDefault="007A6D1E" w:rsidP="007A6D1E">
      <w:pPr>
        <w:rPr>
          <w:b/>
          <w:bCs/>
        </w:rPr>
      </w:pPr>
    </w:p>
    <w:p w14:paraId="493B9A58" w14:textId="522BA414" w:rsidR="007A6D1E" w:rsidRPr="007A6D1E" w:rsidRDefault="007A6D1E" w:rsidP="007A6D1E">
      <w:pPr>
        <w:rPr>
          <w:b/>
          <w:bCs/>
        </w:rPr>
      </w:pPr>
      <w:r w:rsidRPr="007A6D1E">
        <w:rPr>
          <w:b/>
          <w:bCs/>
        </w:rPr>
        <w:lastRenderedPageBreak/>
        <w:t>6. Year-Based Patterns:</w:t>
      </w:r>
    </w:p>
    <w:p w14:paraId="0E9CF13F" w14:textId="77777777" w:rsidR="007A6D1E" w:rsidRDefault="007A6D1E" w:rsidP="007A6D1E">
      <w:pPr>
        <w:numPr>
          <w:ilvl w:val="0"/>
          <w:numId w:val="32"/>
        </w:numPr>
      </w:pPr>
      <w:r w:rsidRPr="007A6D1E">
        <w:t xml:space="preserve">Products with years like </w:t>
      </w:r>
      <w:r w:rsidRPr="007A6D1E">
        <w:rPr>
          <w:b/>
          <w:bCs/>
        </w:rPr>
        <w:t>2024</w:t>
      </w:r>
      <w:r w:rsidRPr="007A6D1E">
        <w:t xml:space="preserve"> in the description often align with maturities and callable features, frequently appearing in </w:t>
      </w:r>
      <w:r w:rsidRPr="007A6D1E">
        <w:rPr>
          <w:b/>
          <w:bCs/>
        </w:rPr>
        <w:t>Structured Products</w:t>
      </w:r>
      <w:r w:rsidRPr="007A6D1E">
        <w:t>. This pattern reflects a focus on specific future timelines in structured finance.</w:t>
      </w:r>
    </w:p>
    <w:p w14:paraId="415AA2AA" w14:textId="77777777" w:rsidR="007A6D1E" w:rsidRPr="007A6D1E" w:rsidRDefault="007A6D1E" w:rsidP="007A6D1E"/>
    <w:p w14:paraId="35DFB81B" w14:textId="77777777" w:rsidR="007A6D1E" w:rsidRPr="007A6D1E" w:rsidRDefault="007A6D1E" w:rsidP="007A6D1E">
      <w:pPr>
        <w:rPr>
          <w:b/>
          <w:bCs/>
        </w:rPr>
      </w:pPr>
      <w:r w:rsidRPr="007A6D1E">
        <w:rPr>
          <w:b/>
          <w:bCs/>
        </w:rPr>
        <w:t>7. Common Terms and Product Type Correlation:</w:t>
      </w:r>
    </w:p>
    <w:p w14:paraId="62A6C2D1" w14:textId="77777777" w:rsidR="007A6D1E" w:rsidRPr="007A6D1E" w:rsidRDefault="007A6D1E" w:rsidP="007A6D1E">
      <w:pPr>
        <w:numPr>
          <w:ilvl w:val="0"/>
          <w:numId w:val="33"/>
        </w:numPr>
      </w:pPr>
      <w:r w:rsidRPr="007A6D1E">
        <w:t xml:space="preserve">Words like </w:t>
      </w:r>
      <w:r w:rsidRPr="007A6D1E">
        <w:rPr>
          <w:b/>
          <w:bCs/>
        </w:rPr>
        <w:t>"notes"</w:t>
      </w:r>
      <w:r w:rsidRPr="007A6D1E">
        <w:t xml:space="preserve">, </w:t>
      </w:r>
      <w:r w:rsidRPr="007A6D1E">
        <w:rPr>
          <w:b/>
          <w:bCs/>
        </w:rPr>
        <w:t>"</w:t>
      </w:r>
      <w:proofErr w:type="spellStart"/>
      <w:r w:rsidRPr="007A6D1E">
        <w:rPr>
          <w:b/>
          <w:bCs/>
        </w:rPr>
        <w:t>shs</w:t>
      </w:r>
      <w:proofErr w:type="spellEnd"/>
      <w:r w:rsidRPr="007A6D1E">
        <w:rPr>
          <w:b/>
          <w:bCs/>
        </w:rPr>
        <w:t>"</w:t>
      </w:r>
      <w:r w:rsidRPr="007A6D1E">
        <w:t xml:space="preserve"> (shares), and </w:t>
      </w:r>
      <w:r w:rsidRPr="007A6D1E">
        <w:rPr>
          <w:b/>
          <w:bCs/>
        </w:rPr>
        <w:t>"series"</w:t>
      </w:r>
      <w:r w:rsidRPr="007A6D1E">
        <w:t xml:space="preserve"> frequently occur in various product types but tend to appear more in </w:t>
      </w:r>
      <w:r w:rsidRPr="007A6D1E">
        <w:rPr>
          <w:b/>
          <w:bCs/>
        </w:rPr>
        <w:t>Single Line Fixed Income</w:t>
      </w:r>
      <w:r w:rsidRPr="007A6D1E">
        <w:t xml:space="preserve"> and </w:t>
      </w:r>
      <w:r w:rsidRPr="007A6D1E">
        <w:rPr>
          <w:b/>
          <w:bCs/>
        </w:rPr>
        <w:t>Structured Products</w:t>
      </w:r>
      <w:r w:rsidRPr="007A6D1E">
        <w:t xml:space="preserve"> categories. These terms indicate asset-backed or security-based financial instruments.</w:t>
      </w:r>
    </w:p>
    <w:p w14:paraId="328CB20E" w14:textId="77777777" w:rsidR="007A6D1E" w:rsidRDefault="007A6D1E" w:rsidP="007A6D1E">
      <w:pPr>
        <w:numPr>
          <w:ilvl w:val="0"/>
          <w:numId w:val="33"/>
        </w:numPr>
      </w:pPr>
      <w:r w:rsidRPr="007A6D1E">
        <w:t xml:space="preserve">Descriptions containing </w:t>
      </w:r>
      <w:r w:rsidRPr="007A6D1E">
        <w:rPr>
          <w:b/>
          <w:bCs/>
        </w:rPr>
        <w:t>"dual</w:t>
      </w:r>
      <w:proofErr w:type="gramStart"/>
      <w:r w:rsidRPr="007A6D1E">
        <w:rPr>
          <w:b/>
          <w:bCs/>
        </w:rPr>
        <w:t>"</w:t>
      </w:r>
      <w:proofErr w:type="gramEnd"/>
      <w:r w:rsidRPr="007A6D1E">
        <w:t xml:space="preserve"> or </w:t>
      </w:r>
      <w:r w:rsidRPr="007A6D1E">
        <w:rPr>
          <w:b/>
          <w:bCs/>
        </w:rPr>
        <w:t>"currency"</w:t>
      </w:r>
      <w:r w:rsidRPr="007A6D1E">
        <w:t xml:space="preserve"> are more likely to be linked with </w:t>
      </w:r>
      <w:r w:rsidRPr="007A6D1E">
        <w:rPr>
          <w:b/>
          <w:bCs/>
        </w:rPr>
        <w:t>Structured Products</w:t>
      </w:r>
      <w:r w:rsidRPr="007A6D1E">
        <w:t>, especially those tied to foreign exchange or precious metals.</w:t>
      </w:r>
    </w:p>
    <w:p w14:paraId="5D74AB19" w14:textId="77777777" w:rsidR="007A6D1E" w:rsidRDefault="007A6D1E" w:rsidP="007A6D1E"/>
    <w:p w14:paraId="012D2D0E" w14:textId="77777777" w:rsidR="007A6D1E" w:rsidRPr="007A6D1E" w:rsidRDefault="007A6D1E" w:rsidP="007A6D1E"/>
    <w:p w14:paraId="5A978CAA" w14:textId="77777777" w:rsidR="007A6D1E" w:rsidRPr="007A6D1E" w:rsidRDefault="007A6D1E" w:rsidP="007A6D1E">
      <w:pPr>
        <w:rPr>
          <w:b/>
          <w:bCs/>
        </w:rPr>
      </w:pPr>
      <w:r w:rsidRPr="007A6D1E">
        <w:rPr>
          <w:b/>
          <w:bCs/>
        </w:rPr>
        <w:t>8. Specific Terms for Risk Classification:</w:t>
      </w:r>
    </w:p>
    <w:p w14:paraId="02586574" w14:textId="77777777" w:rsidR="008616BC" w:rsidRDefault="007A6D1E" w:rsidP="008616BC">
      <w:pPr>
        <w:numPr>
          <w:ilvl w:val="0"/>
          <w:numId w:val="34"/>
        </w:numPr>
      </w:pPr>
      <w:r w:rsidRPr="007A6D1E">
        <w:t xml:space="preserve">Terms such as </w:t>
      </w:r>
      <w:r w:rsidRPr="007A6D1E">
        <w:rPr>
          <w:b/>
          <w:bCs/>
        </w:rPr>
        <w:t>"callable"</w:t>
      </w:r>
      <w:r w:rsidRPr="007A6D1E">
        <w:t xml:space="preserve">, </w:t>
      </w:r>
      <w:r w:rsidRPr="007A6D1E">
        <w:rPr>
          <w:b/>
          <w:bCs/>
        </w:rPr>
        <w:t>"fixed"</w:t>
      </w:r>
      <w:r w:rsidRPr="007A6D1E">
        <w:t xml:space="preserve">, and </w:t>
      </w:r>
      <w:r w:rsidRPr="007A6D1E">
        <w:rPr>
          <w:b/>
          <w:bCs/>
        </w:rPr>
        <w:t>"linked"</w:t>
      </w:r>
      <w:r w:rsidRPr="007A6D1E">
        <w:t xml:space="preserve"> are frequently associated with products that might have specific risk-return profiles, particularly in structured finance. This could indicate the type of risk the product is managing (interest rate risk, currency risk, etc.).</w:t>
      </w:r>
    </w:p>
    <w:p w14:paraId="1FC66993" w14:textId="77777777" w:rsidR="008616BC" w:rsidRDefault="008616BC" w:rsidP="008616BC"/>
    <w:p w14:paraId="031B5A67" w14:textId="778BFA54" w:rsidR="007A6D1E" w:rsidRPr="008616BC" w:rsidRDefault="008616BC" w:rsidP="008616BC">
      <w:pPr>
        <w:rPr>
          <w:b/>
          <w:bCs/>
        </w:rPr>
      </w:pPr>
      <w:r>
        <w:rPr>
          <w:b/>
          <w:bCs/>
        </w:rPr>
        <w:t>9.</w:t>
      </w:r>
      <w:r w:rsidR="007A6D1E" w:rsidRPr="008616BC">
        <w:rPr>
          <w:b/>
          <w:bCs/>
        </w:rPr>
        <w:t>Currency Terms:</w:t>
      </w:r>
    </w:p>
    <w:p w14:paraId="4B67E1C8" w14:textId="77777777" w:rsidR="007A6D1E" w:rsidRPr="007A6D1E" w:rsidRDefault="007A6D1E" w:rsidP="007A6D1E">
      <w:pPr>
        <w:numPr>
          <w:ilvl w:val="0"/>
          <w:numId w:val="38"/>
        </w:numPr>
      </w:pPr>
      <w:r w:rsidRPr="007A6D1E">
        <w:t xml:space="preserve">The presence of currency abbreviations like </w:t>
      </w:r>
      <w:r w:rsidRPr="007A6D1E">
        <w:rPr>
          <w:b/>
          <w:bCs/>
        </w:rPr>
        <w:t>USD</w:t>
      </w:r>
      <w:r w:rsidRPr="007A6D1E">
        <w:t xml:space="preserve">, </w:t>
      </w:r>
      <w:r w:rsidRPr="007A6D1E">
        <w:rPr>
          <w:b/>
          <w:bCs/>
        </w:rPr>
        <w:t>GBP</w:t>
      </w:r>
      <w:r w:rsidRPr="007A6D1E">
        <w:t xml:space="preserve">, and </w:t>
      </w:r>
      <w:r w:rsidRPr="007A6D1E">
        <w:rPr>
          <w:b/>
          <w:bCs/>
        </w:rPr>
        <w:t>EUR</w:t>
      </w:r>
      <w:r w:rsidRPr="007A6D1E">
        <w:t xml:space="preserve"> often indicates specific product types. For example:</w:t>
      </w:r>
    </w:p>
    <w:p w14:paraId="6B4D909F" w14:textId="77777777" w:rsidR="007A6D1E" w:rsidRPr="007A6D1E" w:rsidRDefault="007A6D1E" w:rsidP="007A6D1E">
      <w:pPr>
        <w:numPr>
          <w:ilvl w:val="1"/>
          <w:numId w:val="38"/>
        </w:numPr>
      </w:pPr>
      <w:r w:rsidRPr="007A6D1E">
        <w:rPr>
          <w:b/>
          <w:bCs/>
        </w:rPr>
        <w:t>"GBP"</w:t>
      </w:r>
      <w:r w:rsidRPr="007A6D1E">
        <w:t xml:space="preserve"> is frequently linked with </w:t>
      </w:r>
      <w:r w:rsidRPr="007A6D1E">
        <w:rPr>
          <w:b/>
          <w:bCs/>
        </w:rPr>
        <w:t>Structured Products</w:t>
      </w:r>
      <w:r w:rsidRPr="007A6D1E">
        <w:t>.</w:t>
      </w:r>
    </w:p>
    <w:p w14:paraId="19B201E0" w14:textId="77777777" w:rsidR="007A6D1E" w:rsidRPr="007A6D1E" w:rsidRDefault="007A6D1E" w:rsidP="007A6D1E">
      <w:pPr>
        <w:numPr>
          <w:ilvl w:val="1"/>
          <w:numId w:val="38"/>
        </w:numPr>
      </w:pPr>
      <w:r w:rsidRPr="007A6D1E">
        <w:rPr>
          <w:b/>
          <w:bCs/>
        </w:rPr>
        <w:t>"USD"</w:t>
      </w:r>
      <w:r w:rsidRPr="007A6D1E">
        <w:t xml:space="preserve"> and </w:t>
      </w:r>
      <w:r w:rsidRPr="007A6D1E">
        <w:rPr>
          <w:b/>
          <w:bCs/>
        </w:rPr>
        <w:t>"EUR"</w:t>
      </w:r>
      <w:r w:rsidRPr="007A6D1E">
        <w:t xml:space="preserve"> tend to appear in various structured or fixed-income products.</w:t>
      </w:r>
    </w:p>
    <w:p w14:paraId="5CFEA73E" w14:textId="53A081E5" w:rsidR="007A6D1E" w:rsidRPr="007A6D1E" w:rsidRDefault="008616BC" w:rsidP="007A6D1E">
      <w:pPr>
        <w:rPr>
          <w:b/>
          <w:bCs/>
        </w:rPr>
      </w:pPr>
      <w:r>
        <w:rPr>
          <w:b/>
          <w:bCs/>
        </w:rPr>
        <w:t>10</w:t>
      </w:r>
      <w:r w:rsidR="007A6D1E" w:rsidRPr="007A6D1E">
        <w:rPr>
          <w:b/>
          <w:bCs/>
        </w:rPr>
        <w:t>. Fixed Income and Rates:</w:t>
      </w:r>
    </w:p>
    <w:p w14:paraId="3062F08F" w14:textId="77777777" w:rsidR="007A6D1E" w:rsidRPr="007A6D1E" w:rsidRDefault="007A6D1E" w:rsidP="007A6D1E">
      <w:pPr>
        <w:numPr>
          <w:ilvl w:val="0"/>
          <w:numId w:val="39"/>
        </w:numPr>
      </w:pPr>
      <w:r w:rsidRPr="007A6D1E">
        <w:t xml:space="preserve">The term </w:t>
      </w:r>
      <w:r w:rsidRPr="007A6D1E">
        <w:rPr>
          <w:b/>
          <w:bCs/>
        </w:rPr>
        <w:t>"fixed"</w:t>
      </w:r>
      <w:r w:rsidRPr="007A6D1E">
        <w:t xml:space="preserve"> is strongly associated with </w:t>
      </w:r>
      <w:r w:rsidRPr="007A6D1E">
        <w:rPr>
          <w:b/>
          <w:bCs/>
        </w:rPr>
        <w:t>Single Line Fixed Income</w:t>
      </w:r>
      <w:r w:rsidRPr="007A6D1E">
        <w:t xml:space="preserve"> products, often linked to terms such as </w:t>
      </w:r>
      <w:r w:rsidRPr="007A6D1E">
        <w:rPr>
          <w:b/>
          <w:bCs/>
        </w:rPr>
        <w:t>"rate"</w:t>
      </w:r>
      <w:r w:rsidRPr="007A6D1E">
        <w:t xml:space="preserve"> and </w:t>
      </w:r>
      <w:r w:rsidRPr="007A6D1E">
        <w:rPr>
          <w:b/>
          <w:bCs/>
        </w:rPr>
        <w:t>"term"</w:t>
      </w:r>
      <w:r w:rsidRPr="007A6D1E">
        <w:t>.</w:t>
      </w:r>
    </w:p>
    <w:p w14:paraId="5EB35B2A" w14:textId="77777777" w:rsidR="007A6D1E" w:rsidRPr="007A6D1E" w:rsidRDefault="007A6D1E" w:rsidP="007A6D1E">
      <w:pPr>
        <w:numPr>
          <w:ilvl w:val="0"/>
          <w:numId w:val="39"/>
        </w:numPr>
      </w:pPr>
      <w:r w:rsidRPr="007A6D1E">
        <w:t xml:space="preserve">Other terms like </w:t>
      </w:r>
      <w:r w:rsidRPr="007A6D1E">
        <w:rPr>
          <w:b/>
          <w:bCs/>
        </w:rPr>
        <w:t>"</w:t>
      </w:r>
      <w:proofErr w:type="spellStart"/>
      <w:r w:rsidRPr="007A6D1E">
        <w:rPr>
          <w:b/>
          <w:bCs/>
        </w:rPr>
        <w:t>shs</w:t>
      </w:r>
      <w:proofErr w:type="spellEnd"/>
      <w:r w:rsidRPr="007A6D1E">
        <w:rPr>
          <w:b/>
          <w:bCs/>
        </w:rPr>
        <w:t>" (shares)</w:t>
      </w:r>
      <w:r w:rsidRPr="007A6D1E">
        <w:t xml:space="preserve"> and </w:t>
      </w:r>
      <w:r w:rsidRPr="007A6D1E">
        <w:rPr>
          <w:b/>
          <w:bCs/>
        </w:rPr>
        <w:t>"notes"</w:t>
      </w:r>
      <w:r w:rsidRPr="007A6D1E">
        <w:t xml:space="preserve"> are common in fixed-income product descriptions.</w:t>
      </w:r>
    </w:p>
    <w:p w14:paraId="21BD4376" w14:textId="466E615A" w:rsidR="007A6D1E" w:rsidRPr="007A6D1E" w:rsidRDefault="008616BC" w:rsidP="007A6D1E">
      <w:pPr>
        <w:rPr>
          <w:b/>
          <w:bCs/>
        </w:rPr>
      </w:pPr>
      <w:r>
        <w:rPr>
          <w:b/>
          <w:bCs/>
        </w:rPr>
        <w:t>11</w:t>
      </w:r>
      <w:r w:rsidR="007A6D1E" w:rsidRPr="007A6D1E">
        <w:rPr>
          <w:b/>
          <w:bCs/>
        </w:rPr>
        <w:t>. Dates and Series:</w:t>
      </w:r>
    </w:p>
    <w:p w14:paraId="74D1BA3D" w14:textId="77777777" w:rsidR="007A6D1E" w:rsidRPr="007A6D1E" w:rsidRDefault="007A6D1E" w:rsidP="007A6D1E">
      <w:pPr>
        <w:numPr>
          <w:ilvl w:val="0"/>
          <w:numId w:val="40"/>
        </w:numPr>
      </w:pPr>
      <w:r w:rsidRPr="007A6D1E">
        <w:t xml:space="preserve">The presence of numbers and dates, like </w:t>
      </w:r>
      <w:r w:rsidRPr="007A6D1E">
        <w:rPr>
          <w:b/>
          <w:bCs/>
        </w:rPr>
        <w:t>"2024"</w:t>
      </w:r>
      <w:r w:rsidRPr="007A6D1E">
        <w:t xml:space="preserve">, and terms like </w:t>
      </w:r>
      <w:r w:rsidRPr="007A6D1E">
        <w:rPr>
          <w:b/>
          <w:bCs/>
        </w:rPr>
        <w:t>"series"</w:t>
      </w:r>
      <w:r w:rsidRPr="007A6D1E">
        <w:t xml:space="preserve"> and </w:t>
      </w:r>
      <w:r w:rsidRPr="007A6D1E">
        <w:rPr>
          <w:b/>
          <w:bCs/>
        </w:rPr>
        <w:t>"global"</w:t>
      </w:r>
      <w:r w:rsidRPr="007A6D1E">
        <w:t xml:space="preserve">, suggest both </w:t>
      </w:r>
      <w:r w:rsidRPr="007A6D1E">
        <w:rPr>
          <w:b/>
          <w:bCs/>
        </w:rPr>
        <w:t>Structured Products</w:t>
      </w:r>
      <w:r w:rsidRPr="007A6D1E">
        <w:t xml:space="preserve"> and </w:t>
      </w:r>
      <w:r w:rsidRPr="007A6D1E">
        <w:rPr>
          <w:b/>
          <w:bCs/>
        </w:rPr>
        <w:t>Single Line Fixed Income</w:t>
      </w:r>
      <w:r w:rsidRPr="007A6D1E">
        <w:t xml:space="preserve"> products. These terms often occur in product names or descriptions related to bonds or securities.</w:t>
      </w:r>
    </w:p>
    <w:p w14:paraId="2CE2B517" w14:textId="49D2F255" w:rsidR="007A6D1E" w:rsidRPr="007A6D1E" w:rsidRDefault="008616BC" w:rsidP="007A6D1E">
      <w:pPr>
        <w:rPr>
          <w:b/>
          <w:bCs/>
        </w:rPr>
      </w:pPr>
      <w:r>
        <w:rPr>
          <w:b/>
          <w:bCs/>
        </w:rPr>
        <w:t>12</w:t>
      </w:r>
      <w:r w:rsidR="007A6D1E" w:rsidRPr="007A6D1E">
        <w:rPr>
          <w:b/>
          <w:bCs/>
        </w:rPr>
        <w:t>. Thresholds:</w:t>
      </w:r>
    </w:p>
    <w:p w14:paraId="104A01CF" w14:textId="77777777" w:rsidR="007A6D1E" w:rsidRPr="007A6D1E" w:rsidRDefault="007A6D1E" w:rsidP="007A6D1E">
      <w:pPr>
        <w:numPr>
          <w:ilvl w:val="0"/>
          <w:numId w:val="41"/>
        </w:numPr>
      </w:pPr>
      <w:r w:rsidRPr="007A6D1E">
        <w:t xml:space="preserve">Specific numeric thresholds, such as values like </w:t>
      </w:r>
      <w:r w:rsidRPr="007A6D1E">
        <w:rPr>
          <w:b/>
          <w:bCs/>
        </w:rPr>
        <w:t>75</w:t>
      </w:r>
      <w:r w:rsidRPr="007A6D1E">
        <w:t xml:space="preserve"> or </w:t>
      </w:r>
      <w:r w:rsidRPr="007A6D1E">
        <w:rPr>
          <w:b/>
          <w:bCs/>
        </w:rPr>
        <w:t>25</w:t>
      </w:r>
      <w:r w:rsidRPr="007A6D1E">
        <w:t>, play a role in distinguishing between different product categories.</w:t>
      </w:r>
    </w:p>
    <w:p w14:paraId="02341C7F" w14:textId="236669BF" w:rsidR="007A6D1E" w:rsidRPr="007A6D1E" w:rsidRDefault="008616BC" w:rsidP="007A6D1E">
      <w:pPr>
        <w:rPr>
          <w:b/>
          <w:bCs/>
        </w:rPr>
      </w:pPr>
      <w:r>
        <w:rPr>
          <w:b/>
          <w:bCs/>
        </w:rPr>
        <w:t>13</w:t>
      </w:r>
      <w:r w:rsidR="007A6D1E" w:rsidRPr="007A6D1E">
        <w:rPr>
          <w:b/>
          <w:bCs/>
        </w:rPr>
        <w:t>. Issuer-Specific Patterns:</w:t>
      </w:r>
    </w:p>
    <w:p w14:paraId="2435F3C1" w14:textId="77777777" w:rsidR="007A6D1E" w:rsidRPr="007A6D1E" w:rsidRDefault="007A6D1E" w:rsidP="007A6D1E">
      <w:pPr>
        <w:numPr>
          <w:ilvl w:val="0"/>
          <w:numId w:val="42"/>
        </w:numPr>
      </w:pPr>
      <w:r w:rsidRPr="007A6D1E">
        <w:t xml:space="preserve">Company names or abbreviations, such as </w:t>
      </w:r>
      <w:r w:rsidRPr="007A6D1E">
        <w:rPr>
          <w:b/>
          <w:bCs/>
        </w:rPr>
        <w:t>"HSBC"</w:t>
      </w:r>
      <w:r w:rsidRPr="007A6D1E">
        <w:t>, appear to influence the categorization, especially for structured products.</w:t>
      </w:r>
    </w:p>
    <w:p w14:paraId="6F28AA89" w14:textId="77777777" w:rsidR="007A6D1E" w:rsidRDefault="007A6D1E" w:rsidP="007A6D1E"/>
    <w:p w14:paraId="12EDC660" w14:textId="77777777" w:rsidR="007A6D1E" w:rsidRPr="007A6D1E" w:rsidRDefault="007A6D1E" w:rsidP="007A6D1E"/>
    <w:p w14:paraId="21DCF9AF" w14:textId="77777777" w:rsidR="007A6D1E" w:rsidRPr="007A6D1E" w:rsidRDefault="007A6D1E" w:rsidP="007A6D1E">
      <w:pPr>
        <w:rPr>
          <w:b/>
          <w:bCs/>
        </w:rPr>
      </w:pPr>
      <w:r w:rsidRPr="007A6D1E">
        <w:rPr>
          <w:b/>
          <w:bCs/>
        </w:rPr>
        <w:t>Summary of Additional Insights:</w:t>
      </w:r>
    </w:p>
    <w:p w14:paraId="3563783B" w14:textId="77777777" w:rsidR="007A6D1E" w:rsidRPr="007A6D1E" w:rsidRDefault="007A6D1E" w:rsidP="007A6D1E">
      <w:pPr>
        <w:numPr>
          <w:ilvl w:val="0"/>
          <w:numId w:val="35"/>
        </w:numPr>
      </w:pPr>
      <w:r w:rsidRPr="007A6D1E">
        <w:rPr>
          <w:b/>
          <w:bCs/>
        </w:rPr>
        <w:t>Currency-linked products</w:t>
      </w:r>
      <w:r w:rsidRPr="007A6D1E">
        <w:t xml:space="preserve"> are prevalent in structured finance.</w:t>
      </w:r>
    </w:p>
    <w:p w14:paraId="44084F1E" w14:textId="77777777" w:rsidR="007A6D1E" w:rsidRPr="007A6D1E" w:rsidRDefault="007A6D1E" w:rsidP="007A6D1E">
      <w:pPr>
        <w:numPr>
          <w:ilvl w:val="0"/>
          <w:numId w:val="35"/>
        </w:numPr>
      </w:pPr>
      <w:r w:rsidRPr="007A6D1E">
        <w:rPr>
          <w:b/>
          <w:bCs/>
        </w:rPr>
        <w:t>Region-specific</w:t>
      </w:r>
      <w:r w:rsidRPr="007A6D1E">
        <w:t xml:space="preserve"> products, especially from Latin America and emerging markets, lean toward fixed-income categories.</w:t>
      </w:r>
    </w:p>
    <w:p w14:paraId="0DD00A04" w14:textId="77777777" w:rsidR="007A6D1E" w:rsidRPr="007A6D1E" w:rsidRDefault="007A6D1E" w:rsidP="007A6D1E">
      <w:pPr>
        <w:numPr>
          <w:ilvl w:val="0"/>
          <w:numId w:val="35"/>
        </w:numPr>
      </w:pPr>
      <w:r w:rsidRPr="007A6D1E">
        <w:rPr>
          <w:b/>
          <w:bCs/>
        </w:rPr>
        <w:t>Issuer names</w:t>
      </w:r>
      <w:r w:rsidRPr="007A6D1E">
        <w:t xml:space="preserve"> (e.g., HSBC, BlackRock) provide strong hints for the categorization of products.</w:t>
      </w:r>
    </w:p>
    <w:p w14:paraId="011D0650" w14:textId="77777777" w:rsidR="007A6D1E" w:rsidRPr="007A6D1E" w:rsidRDefault="007A6D1E" w:rsidP="007A6D1E">
      <w:pPr>
        <w:numPr>
          <w:ilvl w:val="0"/>
          <w:numId w:val="35"/>
        </w:numPr>
      </w:pPr>
      <w:r w:rsidRPr="007A6D1E">
        <w:rPr>
          <w:b/>
          <w:bCs/>
        </w:rPr>
        <w:lastRenderedPageBreak/>
        <w:t>Specific numbers and dates</w:t>
      </w:r>
      <w:r w:rsidRPr="007A6D1E">
        <w:t xml:space="preserve"> (e.g., 2024, 75, 25) have critical importance for categorization in terms of bond maturities and fixed-income structures.</w:t>
      </w:r>
    </w:p>
    <w:p w14:paraId="44EA7A73" w14:textId="77777777" w:rsidR="007A6D1E" w:rsidRPr="007A6D1E" w:rsidRDefault="007A6D1E" w:rsidP="007A6D1E"/>
    <w:sectPr w:rsidR="007A6D1E" w:rsidRPr="007A6D1E" w:rsidSect="00F917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C71"/>
    <w:multiLevelType w:val="multilevel"/>
    <w:tmpl w:val="437E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4BA"/>
    <w:multiLevelType w:val="hybridMultilevel"/>
    <w:tmpl w:val="CD360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F2C7D"/>
    <w:multiLevelType w:val="hybridMultilevel"/>
    <w:tmpl w:val="E5EC2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1A0D2F"/>
    <w:multiLevelType w:val="multilevel"/>
    <w:tmpl w:val="103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44509"/>
    <w:multiLevelType w:val="multilevel"/>
    <w:tmpl w:val="79C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37FD1"/>
    <w:multiLevelType w:val="multilevel"/>
    <w:tmpl w:val="B2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71230"/>
    <w:multiLevelType w:val="multilevel"/>
    <w:tmpl w:val="E444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7553F"/>
    <w:multiLevelType w:val="multilevel"/>
    <w:tmpl w:val="418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22C79"/>
    <w:multiLevelType w:val="multilevel"/>
    <w:tmpl w:val="9BD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84592"/>
    <w:multiLevelType w:val="multilevel"/>
    <w:tmpl w:val="53C2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5022D"/>
    <w:multiLevelType w:val="multilevel"/>
    <w:tmpl w:val="4FC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B2719"/>
    <w:multiLevelType w:val="multilevel"/>
    <w:tmpl w:val="4D5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00306"/>
    <w:multiLevelType w:val="multilevel"/>
    <w:tmpl w:val="33C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70318"/>
    <w:multiLevelType w:val="multilevel"/>
    <w:tmpl w:val="CD7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27194"/>
    <w:multiLevelType w:val="multilevel"/>
    <w:tmpl w:val="1C6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962F6"/>
    <w:multiLevelType w:val="multilevel"/>
    <w:tmpl w:val="6CD49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32DC2"/>
    <w:multiLevelType w:val="multilevel"/>
    <w:tmpl w:val="455C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94B29"/>
    <w:multiLevelType w:val="multilevel"/>
    <w:tmpl w:val="72E6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803A2"/>
    <w:multiLevelType w:val="multilevel"/>
    <w:tmpl w:val="084C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01621"/>
    <w:multiLevelType w:val="multilevel"/>
    <w:tmpl w:val="5288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921C6"/>
    <w:multiLevelType w:val="hybridMultilevel"/>
    <w:tmpl w:val="A0B49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E738E7"/>
    <w:multiLevelType w:val="hybridMultilevel"/>
    <w:tmpl w:val="0EA07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DE1C85"/>
    <w:multiLevelType w:val="multilevel"/>
    <w:tmpl w:val="B9E0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040C5"/>
    <w:multiLevelType w:val="multilevel"/>
    <w:tmpl w:val="23A0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A23D0"/>
    <w:multiLevelType w:val="multilevel"/>
    <w:tmpl w:val="49A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2393D"/>
    <w:multiLevelType w:val="multilevel"/>
    <w:tmpl w:val="23E0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135AA"/>
    <w:multiLevelType w:val="multilevel"/>
    <w:tmpl w:val="D3BE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11C21"/>
    <w:multiLevelType w:val="multilevel"/>
    <w:tmpl w:val="B70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B7B38"/>
    <w:multiLevelType w:val="multilevel"/>
    <w:tmpl w:val="DA40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35F88"/>
    <w:multiLevelType w:val="multilevel"/>
    <w:tmpl w:val="47B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010C0"/>
    <w:multiLevelType w:val="multilevel"/>
    <w:tmpl w:val="6E2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E2436"/>
    <w:multiLevelType w:val="hybridMultilevel"/>
    <w:tmpl w:val="98FC90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80925B8"/>
    <w:multiLevelType w:val="multilevel"/>
    <w:tmpl w:val="726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17A4D"/>
    <w:multiLevelType w:val="multilevel"/>
    <w:tmpl w:val="6E18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60EE7"/>
    <w:multiLevelType w:val="multilevel"/>
    <w:tmpl w:val="B1EC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7338D"/>
    <w:multiLevelType w:val="multilevel"/>
    <w:tmpl w:val="C3C6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911D6"/>
    <w:multiLevelType w:val="multilevel"/>
    <w:tmpl w:val="04F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1624D"/>
    <w:multiLevelType w:val="hybridMultilevel"/>
    <w:tmpl w:val="095C7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DD4706"/>
    <w:multiLevelType w:val="hybridMultilevel"/>
    <w:tmpl w:val="EF589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335767"/>
    <w:multiLevelType w:val="hybridMultilevel"/>
    <w:tmpl w:val="607AB6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EE0241"/>
    <w:multiLevelType w:val="multilevel"/>
    <w:tmpl w:val="2F22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C666D"/>
    <w:multiLevelType w:val="multilevel"/>
    <w:tmpl w:val="7B32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288317">
    <w:abstractNumId w:val="21"/>
  </w:num>
  <w:num w:numId="2" w16cid:durableId="2130933022">
    <w:abstractNumId w:val="15"/>
  </w:num>
  <w:num w:numId="3" w16cid:durableId="66080155">
    <w:abstractNumId w:val="1"/>
  </w:num>
  <w:num w:numId="4" w16cid:durableId="923496332">
    <w:abstractNumId w:val="36"/>
  </w:num>
  <w:num w:numId="5" w16cid:durableId="52235386">
    <w:abstractNumId w:val="28"/>
  </w:num>
  <w:num w:numId="6" w16cid:durableId="1196040211">
    <w:abstractNumId w:val="32"/>
  </w:num>
  <w:num w:numId="7" w16cid:durableId="1912808268">
    <w:abstractNumId w:val="14"/>
  </w:num>
  <w:num w:numId="8" w16cid:durableId="755639230">
    <w:abstractNumId w:val="38"/>
  </w:num>
  <w:num w:numId="9" w16cid:durableId="2002196131">
    <w:abstractNumId w:val="2"/>
  </w:num>
  <w:num w:numId="10" w16cid:durableId="1714577522">
    <w:abstractNumId w:val="16"/>
  </w:num>
  <w:num w:numId="11" w16cid:durableId="1149130859">
    <w:abstractNumId w:val="17"/>
  </w:num>
  <w:num w:numId="12" w16cid:durableId="1149861239">
    <w:abstractNumId w:val="27"/>
  </w:num>
  <w:num w:numId="13" w16cid:durableId="2146459280">
    <w:abstractNumId w:val="3"/>
  </w:num>
  <w:num w:numId="14" w16cid:durableId="537476033">
    <w:abstractNumId w:val="0"/>
  </w:num>
  <w:num w:numId="15" w16cid:durableId="848912970">
    <w:abstractNumId w:val="4"/>
  </w:num>
  <w:num w:numId="16" w16cid:durableId="1474175392">
    <w:abstractNumId w:val="24"/>
  </w:num>
  <w:num w:numId="17" w16cid:durableId="2058628353">
    <w:abstractNumId w:val="19"/>
  </w:num>
  <w:num w:numId="18" w16cid:durableId="1823308379">
    <w:abstractNumId w:val="26"/>
  </w:num>
  <w:num w:numId="19" w16cid:durableId="377319825">
    <w:abstractNumId w:val="29"/>
  </w:num>
  <w:num w:numId="20" w16cid:durableId="480271298">
    <w:abstractNumId w:val="8"/>
  </w:num>
  <w:num w:numId="21" w16cid:durableId="30614654">
    <w:abstractNumId w:val="34"/>
  </w:num>
  <w:num w:numId="22" w16cid:durableId="285701577">
    <w:abstractNumId w:val="11"/>
  </w:num>
  <w:num w:numId="23" w16cid:durableId="918028825">
    <w:abstractNumId w:val="40"/>
  </w:num>
  <w:num w:numId="24" w16cid:durableId="678579221">
    <w:abstractNumId w:val="12"/>
  </w:num>
  <w:num w:numId="25" w16cid:durableId="1959070893">
    <w:abstractNumId w:val="39"/>
  </w:num>
  <w:num w:numId="26" w16cid:durableId="907808701">
    <w:abstractNumId w:val="37"/>
  </w:num>
  <w:num w:numId="27" w16cid:durableId="1915167699">
    <w:abstractNumId w:val="18"/>
  </w:num>
  <w:num w:numId="28" w16cid:durableId="1569874841">
    <w:abstractNumId w:val="5"/>
  </w:num>
  <w:num w:numId="29" w16cid:durableId="1209998643">
    <w:abstractNumId w:val="10"/>
  </w:num>
  <w:num w:numId="30" w16cid:durableId="1110272841">
    <w:abstractNumId w:val="30"/>
  </w:num>
  <w:num w:numId="31" w16cid:durableId="832455085">
    <w:abstractNumId w:val="6"/>
  </w:num>
  <w:num w:numId="32" w16cid:durableId="1919172579">
    <w:abstractNumId w:val="25"/>
  </w:num>
  <w:num w:numId="33" w16cid:durableId="2013097700">
    <w:abstractNumId w:val="9"/>
  </w:num>
  <w:num w:numId="34" w16cid:durableId="1236550595">
    <w:abstractNumId w:val="35"/>
  </w:num>
  <w:num w:numId="35" w16cid:durableId="1204630656">
    <w:abstractNumId w:val="23"/>
  </w:num>
  <w:num w:numId="36" w16cid:durableId="1641618865">
    <w:abstractNumId w:val="20"/>
  </w:num>
  <w:num w:numId="37" w16cid:durableId="191463401">
    <w:abstractNumId w:val="31"/>
  </w:num>
  <w:num w:numId="38" w16cid:durableId="324364145">
    <w:abstractNumId w:val="22"/>
  </w:num>
  <w:num w:numId="39" w16cid:durableId="84034746">
    <w:abstractNumId w:val="7"/>
  </w:num>
  <w:num w:numId="40" w16cid:durableId="1415467294">
    <w:abstractNumId w:val="33"/>
  </w:num>
  <w:num w:numId="41" w16cid:durableId="647442628">
    <w:abstractNumId w:val="13"/>
  </w:num>
  <w:num w:numId="42" w16cid:durableId="96870991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93"/>
    <w:rsid w:val="000E3671"/>
    <w:rsid w:val="00100569"/>
    <w:rsid w:val="00120950"/>
    <w:rsid w:val="003E1BCE"/>
    <w:rsid w:val="003E474E"/>
    <w:rsid w:val="004604C8"/>
    <w:rsid w:val="0047372F"/>
    <w:rsid w:val="005A355C"/>
    <w:rsid w:val="0061522E"/>
    <w:rsid w:val="0062722B"/>
    <w:rsid w:val="00633480"/>
    <w:rsid w:val="00680F0B"/>
    <w:rsid w:val="007A6D1E"/>
    <w:rsid w:val="008616BC"/>
    <w:rsid w:val="00935EBF"/>
    <w:rsid w:val="00BC0462"/>
    <w:rsid w:val="00CE2E9F"/>
    <w:rsid w:val="00D4424E"/>
    <w:rsid w:val="00D7776B"/>
    <w:rsid w:val="00DA40D0"/>
    <w:rsid w:val="00DB4193"/>
    <w:rsid w:val="00DC3D55"/>
    <w:rsid w:val="00E17DC8"/>
    <w:rsid w:val="00E56AC0"/>
    <w:rsid w:val="00E70427"/>
    <w:rsid w:val="00F3336A"/>
    <w:rsid w:val="00F91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8C9751"/>
  <w15:chartTrackingRefBased/>
  <w15:docId w15:val="{9D296367-581C-CA44-94AC-31E30903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427"/>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B4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1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1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1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1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193"/>
    <w:rPr>
      <w:rFonts w:eastAsiaTheme="majorEastAsia" w:cstheme="majorBidi"/>
      <w:color w:val="272727" w:themeColor="text1" w:themeTint="D8"/>
    </w:rPr>
  </w:style>
  <w:style w:type="paragraph" w:styleId="Title">
    <w:name w:val="Title"/>
    <w:basedOn w:val="Normal"/>
    <w:next w:val="Normal"/>
    <w:link w:val="TitleChar"/>
    <w:uiPriority w:val="10"/>
    <w:qFormat/>
    <w:rsid w:val="00DB41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1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1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4193"/>
    <w:rPr>
      <w:i/>
      <w:iCs/>
      <w:color w:val="404040" w:themeColor="text1" w:themeTint="BF"/>
    </w:rPr>
  </w:style>
  <w:style w:type="paragraph" w:styleId="ListParagraph">
    <w:name w:val="List Paragraph"/>
    <w:basedOn w:val="Normal"/>
    <w:uiPriority w:val="34"/>
    <w:qFormat/>
    <w:rsid w:val="00DB4193"/>
    <w:pPr>
      <w:ind w:left="720"/>
      <w:contextualSpacing/>
    </w:pPr>
  </w:style>
  <w:style w:type="character" w:styleId="IntenseEmphasis">
    <w:name w:val="Intense Emphasis"/>
    <w:basedOn w:val="DefaultParagraphFont"/>
    <w:uiPriority w:val="21"/>
    <w:qFormat/>
    <w:rsid w:val="00DB4193"/>
    <w:rPr>
      <w:i/>
      <w:iCs/>
      <w:color w:val="0F4761" w:themeColor="accent1" w:themeShade="BF"/>
    </w:rPr>
  </w:style>
  <w:style w:type="paragraph" w:styleId="IntenseQuote">
    <w:name w:val="Intense Quote"/>
    <w:basedOn w:val="Normal"/>
    <w:next w:val="Normal"/>
    <w:link w:val="IntenseQuoteChar"/>
    <w:uiPriority w:val="30"/>
    <w:qFormat/>
    <w:rsid w:val="00DB4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193"/>
    <w:rPr>
      <w:i/>
      <w:iCs/>
      <w:color w:val="0F4761" w:themeColor="accent1" w:themeShade="BF"/>
    </w:rPr>
  </w:style>
  <w:style w:type="character" w:styleId="IntenseReference">
    <w:name w:val="Intense Reference"/>
    <w:basedOn w:val="DefaultParagraphFont"/>
    <w:uiPriority w:val="32"/>
    <w:qFormat/>
    <w:rsid w:val="00DB4193"/>
    <w:rPr>
      <w:b/>
      <w:bCs/>
      <w:smallCaps/>
      <w:color w:val="0F4761" w:themeColor="accent1" w:themeShade="BF"/>
      <w:spacing w:val="5"/>
    </w:rPr>
  </w:style>
  <w:style w:type="character" w:customStyle="1" w:styleId="knime-cell-content">
    <w:name w:val="knime-cell-content"/>
    <w:basedOn w:val="DefaultParagraphFont"/>
    <w:rsid w:val="00460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1328">
      <w:bodyDiv w:val="1"/>
      <w:marLeft w:val="0"/>
      <w:marRight w:val="0"/>
      <w:marTop w:val="0"/>
      <w:marBottom w:val="0"/>
      <w:divBdr>
        <w:top w:val="none" w:sz="0" w:space="0" w:color="auto"/>
        <w:left w:val="none" w:sz="0" w:space="0" w:color="auto"/>
        <w:bottom w:val="none" w:sz="0" w:space="0" w:color="auto"/>
        <w:right w:val="none" w:sz="0" w:space="0" w:color="auto"/>
      </w:divBdr>
    </w:div>
    <w:div w:id="156503568">
      <w:bodyDiv w:val="1"/>
      <w:marLeft w:val="0"/>
      <w:marRight w:val="0"/>
      <w:marTop w:val="0"/>
      <w:marBottom w:val="0"/>
      <w:divBdr>
        <w:top w:val="none" w:sz="0" w:space="0" w:color="auto"/>
        <w:left w:val="none" w:sz="0" w:space="0" w:color="auto"/>
        <w:bottom w:val="none" w:sz="0" w:space="0" w:color="auto"/>
        <w:right w:val="none" w:sz="0" w:space="0" w:color="auto"/>
      </w:divBdr>
    </w:div>
    <w:div w:id="179390875">
      <w:bodyDiv w:val="1"/>
      <w:marLeft w:val="0"/>
      <w:marRight w:val="0"/>
      <w:marTop w:val="0"/>
      <w:marBottom w:val="0"/>
      <w:divBdr>
        <w:top w:val="none" w:sz="0" w:space="0" w:color="auto"/>
        <w:left w:val="none" w:sz="0" w:space="0" w:color="auto"/>
        <w:bottom w:val="none" w:sz="0" w:space="0" w:color="auto"/>
        <w:right w:val="none" w:sz="0" w:space="0" w:color="auto"/>
      </w:divBdr>
    </w:div>
    <w:div w:id="235745612">
      <w:bodyDiv w:val="1"/>
      <w:marLeft w:val="0"/>
      <w:marRight w:val="0"/>
      <w:marTop w:val="0"/>
      <w:marBottom w:val="0"/>
      <w:divBdr>
        <w:top w:val="none" w:sz="0" w:space="0" w:color="auto"/>
        <w:left w:val="none" w:sz="0" w:space="0" w:color="auto"/>
        <w:bottom w:val="none" w:sz="0" w:space="0" w:color="auto"/>
        <w:right w:val="none" w:sz="0" w:space="0" w:color="auto"/>
      </w:divBdr>
    </w:div>
    <w:div w:id="437408518">
      <w:bodyDiv w:val="1"/>
      <w:marLeft w:val="0"/>
      <w:marRight w:val="0"/>
      <w:marTop w:val="0"/>
      <w:marBottom w:val="0"/>
      <w:divBdr>
        <w:top w:val="none" w:sz="0" w:space="0" w:color="auto"/>
        <w:left w:val="none" w:sz="0" w:space="0" w:color="auto"/>
        <w:bottom w:val="none" w:sz="0" w:space="0" w:color="auto"/>
        <w:right w:val="none" w:sz="0" w:space="0" w:color="auto"/>
      </w:divBdr>
    </w:div>
    <w:div w:id="457452849">
      <w:bodyDiv w:val="1"/>
      <w:marLeft w:val="0"/>
      <w:marRight w:val="0"/>
      <w:marTop w:val="0"/>
      <w:marBottom w:val="0"/>
      <w:divBdr>
        <w:top w:val="none" w:sz="0" w:space="0" w:color="auto"/>
        <w:left w:val="none" w:sz="0" w:space="0" w:color="auto"/>
        <w:bottom w:val="none" w:sz="0" w:space="0" w:color="auto"/>
        <w:right w:val="none" w:sz="0" w:space="0" w:color="auto"/>
      </w:divBdr>
    </w:div>
    <w:div w:id="598179062">
      <w:bodyDiv w:val="1"/>
      <w:marLeft w:val="0"/>
      <w:marRight w:val="0"/>
      <w:marTop w:val="0"/>
      <w:marBottom w:val="0"/>
      <w:divBdr>
        <w:top w:val="none" w:sz="0" w:space="0" w:color="auto"/>
        <w:left w:val="none" w:sz="0" w:space="0" w:color="auto"/>
        <w:bottom w:val="none" w:sz="0" w:space="0" w:color="auto"/>
        <w:right w:val="none" w:sz="0" w:space="0" w:color="auto"/>
      </w:divBdr>
    </w:div>
    <w:div w:id="653215831">
      <w:bodyDiv w:val="1"/>
      <w:marLeft w:val="0"/>
      <w:marRight w:val="0"/>
      <w:marTop w:val="0"/>
      <w:marBottom w:val="0"/>
      <w:divBdr>
        <w:top w:val="none" w:sz="0" w:space="0" w:color="auto"/>
        <w:left w:val="none" w:sz="0" w:space="0" w:color="auto"/>
        <w:bottom w:val="none" w:sz="0" w:space="0" w:color="auto"/>
        <w:right w:val="none" w:sz="0" w:space="0" w:color="auto"/>
      </w:divBdr>
    </w:div>
    <w:div w:id="777603179">
      <w:bodyDiv w:val="1"/>
      <w:marLeft w:val="0"/>
      <w:marRight w:val="0"/>
      <w:marTop w:val="0"/>
      <w:marBottom w:val="0"/>
      <w:divBdr>
        <w:top w:val="none" w:sz="0" w:space="0" w:color="auto"/>
        <w:left w:val="none" w:sz="0" w:space="0" w:color="auto"/>
        <w:bottom w:val="none" w:sz="0" w:space="0" w:color="auto"/>
        <w:right w:val="none" w:sz="0" w:space="0" w:color="auto"/>
      </w:divBdr>
    </w:div>
    <w:div w:id="795756653">
      <w:bodyDiv w:val="1"/>
      <w:marLeft w:val="0"/>
      <w:marRight w:val="0"/>
      <w:marTop w:val="0"/>
      <w:marBottom w:val="0"/>
      <w:divBdr>
        <w:top w:val="none" w:sz="0" w:space="0" w:color="auto"/>
        <w:left w:val="none" w:sz="0" w:space="0" w:color="auto"/>
        <w:bottom w:val="none" w:sz="0" w:space="0" w:color="auto"/>
        <w:right w:val="none" w:sz="0" w:space="0" w:color="auto"/>
      </w:divBdr>
    </w:div>
    <w:div w:id="802767655">
      <w:bodyDiv w:val="1"/>
      <w:marLeft w:val="0"/>
      <w:marRight w:val="0"/>
      <w:marTop w:val="0"/>
      <w:marBottom w:val="0"/>
      <w:divBdr>
        <w:top w:val="none" w:sz="0" w:space="0" w:color="auto"/>
        <w:left w:val="none" w:sz="0" w:space="0" w:color="auto"/>
        <w:bottom w:val="none" w:sz="0" w:space="0" w:color="auto"/>
        <w:right w:val="none" w:sz="0" w:space="0" w:color="auto"/>
      </w:divBdr>
    </w:div>
    <w:div w:id="825515300">
      <w:bodyDiv w:val="1"/>
      <w:marLeft w:val="0"/>
      <w:marRight w:val="0"/>
      <w:marTop w:val="0"/>
      <w:marBottom w:val="0"/>
      <w:divBdr>
        <w:top w:val="none" w:sz="0" w:space="0" w:color="auto"/>
        <w:left w:val="none" w:sz="0" w:space="0" w:color="auto"/>
        <w:bottom w:val="none" w:sz="0" w:space="0" w:color="auto"/>
        <w:right w:val="none" w:sz="0" w:space="0" w:color="auto"/>
      </w:divBdr>
    </w:div>
    <w:div w:id="833842840">
      <w:bodyDiv w:val="1"/>
      <w:marLeft w:val="0"/>
      <w:marRight w:val="0"/>
      <w:marTop w:val="0"/>
      <w:marBottom w:val="0"/>
      <w:divBdr>
        <w:top w:val="none" w:sz="0" w:space="0" w:color="auto"/>
        <w:left w:val="none" w:sz="0" w:space="0" w:color="auto"/>
        <w:bottom w:val="none" w:sz="0" w:space="0" w:color="auto"/>
        <w:right w:val="none" w:sz="0" w:space="0" w:color="auto"/>
      </w:divBdr>
    </w:div>
    <w:div w:id="9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490902271">
          <w:marLeft w:val="0"/>
          <w:marRight w:val="0"/>
          <w:marTop w:val="0"/>
          <w:marBottom w:val="0"/>
          <w:divBdr>
            <w:top w:val="none" w:sz="0" w:space="0" w:color="auto"/>
            <w:left w:val="none" w:sz="0" w:space="0" w:color="auto"/>
            <w:bottom w:val="none" w:sz="0" w:space="0" w:color="auto"/>
            <w:right w:val="none" w:sz="0" w:space="0" w:color="auto"/>
          </w:divBdr>
          <w:divsChild>
            <w:div w:id="1602300355">
              <w:marLeft w:val="0"/>
              <w:marRight w:val="0"/>
              <w:marTop w:val="0"/>
              <w:marBottom w:val="0"/>
              <w:divBdr>
                <w:top w:val="none" w:sz="0" w:space="0" w:color="auto"/>
                <w:left w:val="none" w:sz="0" w:space="0" w:color="auto"/>
                <w:bottom w:val="none" w:sz="0" w:space="0" w:color="auto"/>
                <w:right w:val="none" w:sz="0" w:space="0" w:color="auto"/>
              </w:divBdr>
              <w:divsChild>
                <w:div w:id="336806439">
                  <w:marLeft w:val="0"/>
                  <w:marRight w:val="0"/>
                  <w:marTop w:val="0"/>
                  <w:marBottom w:val="0"/>
                  <w:divBdr>
                    <w:top w:val="none" w:sz="0" w:space="0" w:color="auto"/>
                    <w:left w:val="none" w:sz="0" w:space="0" w:color="auto"/>
                    <w:bottom w:val="none" w:sz="0" w:space="0" w:color="auto"/>
                    <w:right w:val="none" w:sz="0" w:space="0" w:color="auto"/>
                  </w:divBdr>
                  <w:divsChild>
                    <w:div w:id="1599287723">
                      <w:marLeft w:val="0"/>
                      <w:marRight w:val="0"/>
                      <w:marTop w:val="0"/>
                      <w:marBottom w:val="0"/>
                      <w:divBdr>
                        <w:top w:val="none" w:sz="0" w:space="0" w:color="auto"/>
                        <w:left w:val="none" w:sz="0" w:space="0" w:color="auto"/>
                        <w:bottom w:val="none" w:sz="0" w:space="0" w:color="auto"/>
                        <w:right w:val="none" w:sz="0" w:space="0" w:color="auto"/>
                      </w:divBdr>
                    </w:div>
                  </w:divsChild>
                </w:div>
                <w:div w:id="1942562608">
                  <w:marLeft w:val="0"/>
                  <w:marRight w:val="0"/>
                  <w:marTop w:val="0"/>
                  <w:marBottom w:val="0"/>
                  <w:divBdr>
                    <w:top w:val="none" w:sz="0" w:space="0" w:color="auto"/>
                    <w:left w:val="none" w:sz="0" w:space="0" w:color="auto"/>
                    <w:bottom w:val="none" w:sz="0" w:space="0" w:color="auto"/>
                    <w:right w:val="none" w:sz="0" w:space="0" w:color="auto"/>
                  </w:divBdr>
                </w:div>
              </w:divsChild>
            </w:div>
            <w:div w:id="563370282">
              <w:marLeft w:val="0"/>
              <w:marRight w:val="0"/>
              <w:marTop w:val="0"/>
              <w:marBottom w:val="0"/>
              <w:divBdr>
                <w:top w:val="none" w:sz="0" w:space="0" w:color="auto"/>
                <w:left w:val="none" w:sz="0" w:space="0" w:color="auto"/>
                <w:bottom w:val="none" w:sz="0" w:space="0" w:color="auto"/>
                <w:right w:val="none" w:sz="0" w:space="0" w:color="auto"/>
              </w:divBdr>
              <w:divsChild>
                <w:div w:id="1298103485">
                  <w:marLeft w:val="0"/>
                  <w:marRight w:val="0"/>
                  <w:marTop w:val="0"/>
                  <w:marBottom w:val="0"/>
                  <w:divBdr>
                    <w:top w:val="none" w:sz="0" w:space="0" w:color="auto"/>
                    <w:left w:val="none" w:sz="0" w:space="0" w:color="auto"/>
                    <w:bottom w:val="none" w:sz="0" w:space="0" w:color="auto"/>
                    <w:right w:val="none" w:sz="0" w:space="0" w:color="auto"/>
                  </w:divBdr>
                  <w:divsChild>
                    <w:div w:id="1119488883">
                      <w:marLeft w:val="0"/>
                      <w:marRight w:val="0"/>
                      <w:marTop w:val="0"/>
                      <w:marBottom w:val="0"/>
                      <w:divBdr>
                        <w:top w:val="none" w:sz="0" w:space="0" w:color="auto"/>
                        <w:left w:val="none" w:sz="0" w:space="0" w:color="auto"/>
                        <w:bottom w:val="none" w:sz="0" w:space="0" w:color="auto"/>
                        <w:right w:val="none" w:sz="0" w:space="0" w:color="auto"/>
                      </w:divBdr>
                    </w:div>
                  </w:divsChild>
                </w:div>
                <w:div w:id="155264907">
                  <w:marLeft w:val="0"/>
                  <w:marRight w:val="0"/>
                  <w:marTop w:val="0"/>
                  <w:marBottom w:val="0"/>
                  <w:divBdr>
                    <w:top w:val="none" w:sz="0" w:space="0" w:color="auto"/>
                    <w:left w:val="none" w:sz="0" w:space="0" w:color="auto"/>
                    <w:bottom w:val="none" w:sz="0" w:space="0" w:color="auto"/>
                    <w:right w:val="none" w:sz="0" w:space="0" w:color="auto"/>
                  </w:divBdr>
                </w:div>
              </w:divsChild>
            </w:div>
            <w:div w:id="606426249">
              <w:marLeft w:val="0"/>
              <w:marRight w:val="0"/>
              <w:marTop w:val="0"/>
              <w:marBottom w:val="0"/>
              <w:divBdr>
                <w:top w:val="none" w:sz="0" w:space="0" w:color="auto"/>
                <w:left w:val="none" w:sz="0" w:space="0" w:color="auto"/>
                <w:bottom w:val="none" w:sz="0" w:space="0" w:color="auto"/>
                <w:right w:val="none" w:sz="0" w:space="0" w:color="auto"/>
              </w:divBdr>
              <w:divsChild>
                <w:div w:id="1302805817">
                  <w:marLeft w:val="0"/>
                  <w:marRight w:val="0"/>
                  <w:marTop w:val="0"/>
                  <w:marBottom w:val="0"/>
                  <w:divBdr>
                    <w:top w:val="none" w:sz="0" w:space="0" w:color="auto"/>
                    <w:left w:val="none" w:sz="0" w:space="0" w:color="auto"/>
                    <w:bottom w:val="none" w:sz="0" w:space="0" w:color="auto"/>
                    <w:right w:val="none" w:sz="0" w:space="0" w:color="auto"/>
                  </w:divBdr>
                  <w:divsChild>
                    <w:div w:id="882909642">
                      <w:marLeft w:val="0"/>
                      <w:marRight w:val="0"/>
                      <w:marTop w:val="0"/>
                      <w:marBottom w:val="0"/>
                      <w:divBdr>
                        <w:top w:val="none" w:sz="0" w:space="0" w:color="auto"/>
                        <w:left w:val="none" w:sz="0" w:space="0" w:color="auto"/>
                        <w:bottom w:val="none" w:sz="0" w:space="0" w:color="auto"/>
                        <w:right w:val="none" w:sz="0" w:space="0" w:color="auto"/>
                      </w:divBdr>
                    </w:div>
                  </w:divsChild>
                </w:div>
                <w:div w:id="1615096180">
                  <w:marLeft w:val="0"/>
                  <w:marRight w:val="0"/>
                  <w:marTop w:val="0"/>
                  <w:marBottom w:val="0"/>
                  <w:divBdr>
                    <w:top w:val="none" w:sz="0" w:space="0" w:color="auto"/>
                    <w:left w:val="none" w:sz="0" w:space="0" w:color="auto"/>
                    <w:bottom w:val="none" w:sz="0" w:space="0" w:color="auto"/>
                    <w:right w:val="none" w:sz="0" w:space="0" w:color="auto"/>
                  </w:divBdr>
                </w:div>
              </w:divsChild>
            </w:div>
            <w:div w:id="1279413502">
              <w:marLeft w:val="0"/>
              <w:marRight w:val="0"/>
              <w:marTop w:val="0"/>
              <w:marBottom w:val="0"/>
              <w:divBdr>
                <w:top w:val="none" w:sz="0" w:space="0" w:color="auto"/>
                <w:left w:val="none" w:sz="0" w:space="0" w:color="auto"/>
                <w:bottom w:val="none" w:sz="0" w:space="0" w:color="auto"/>
                <w:right w:val="none" w:sz="0" w:space="0" w:color="auto"/>
              </w:divBdr>
              <w:divsChild>
                <w:div w:id="487987345">
                  <w:marLeft w:val="0"/>
                  <w:marRight w:val="0"/>
                  <w:marTop w:val="0"/>
                  <w:marBottom w:val="0"/>
                  <w:divBdr>
                    <w:top w:val="none" w:sz="0" w:space="0" w:color="auto"/>
                    <w:left w:val="none" w:sz="0" w:space="0" w:color="auto"/>
                    <w:bottom w:val="none" w:sz="0" w:space="0" w:color="auto"/>
                    <w:right w:val="none" w:sz="0" w:space="0" w:color="auto"/>
                  </w:divBdr>
                  <w:divsChild>
                    <w:div w:id="856235014">
                      <w:marLeft w:val="0"/>
                      <w:marRight w:val="0"/>
                      <w:marTop w:val="0"/>
                      <w:marBottom w:val="0"/>
                      <w:divBdr>
                        <w:top w:val="none" w:sz="0" w:space="0" w:color="auto"/>
                        <w:left w:val="none" w:sz="0" w:space="0" w:color="auto"/>
                        <w:bottom w:val="none" w:sz="0" w:space="0" w:color="auto"/>
                        <w:right w:val="none" w:sz="0" w:space="0" w:color="auto"/>
                      </w:divBdr>
                    </w:div>
                  </w:divsChild>
                </w:div>
                <w:div w:id="39399709">
                  <w:marLeft w:val="0"/>
                  <w:marRight w:val="0"/>
                  <w:marTop w:val="0"/>
                  <w:marBottom w:val="0"/>
                  <w:divBdr>
                    <w:top w:val="none" w:sz="0" w:space="0" w:color="auto"/>
                    <w:left w:val="none" w:sz="0" w:space="0" w:color="auto"/>
                    <w:bottom w:val="none" w:sz="0" w:space="0" w:color="auto"/>
                    <w:right w:val="none" w:sz="0" w:space="0" w:color="auto"/>
                  </w:divBdr>
                </w:div>
              </w:divsChild>
            </w:div>
            <w:div w:id="1585065087">
              <w:marLeft w:val="0"/>
              <w:marRight w:val="0"/>
              <w:marTop w:val="0"/>
              <w:marBottom w:val="0"/>
              <w:divBdr>
                <w:top w:val="none" w:sz="0" w:space="0" w:color="auto"/>
                <w:left w:val="none" w:sz="0" w:space="0" w:color="auto"/>
                <w:bottom w:val="none" w:sz="0" w:space="0" w:color="auto"/>
                <w:right w:val="none" w:sz="0" w:space="0" w:color="auto"/>
              </w:divBdr>
              <w:divsChild>
                <w:div w:id="2080471762">
                  <w:marLeft w:val="0"/>
                  <w:marRight w:val="0"/>
                  <w:marTop w:val="0"/>
                  <w:marBottom w:val="0"/>
                  <w:divBdr>
                    <w:top w:val="none" w:sz="0" w:space="0" w:color="auto"/>
                    <w:left w:val="none" w:sz="0" w:space="0" w:color="auto"/>
                    <w:bottom w:val="none" w:sz="0" w:space="0" w:color="auto"/>
                    <w:right w:val="none" w:sz="0" w:space="0" w:color="auto"/>
                  </w:divBdr>
                  <w:divsChild>
                    <w:div w:id="1232499406">
                      <w:marLeft w:val="0"/>
                      <w:marRight w:val="0"/>
                      <w:marTop w:val="0"/>
                      <w:marBottom w:val="0"/>
                      <w:divBdr>
                        <w:top w:val="none" w:sz="0" w:space="0" w:color="auto"/>
                        <w:left w:val="none" w:sz="0" w:space="0" w:color="auto"/>
                        <w:bottom w:val="none" w:sz="0" w:space="0" w:color="auto"/>
                        <w:right w:val="none" w:sz="0" w:space="0" w:color="auto"/>
                      </w:divBdr>
                    </w:div>
                  </w:divsChild>
                </w:div>
                <w:div w:id="51582640">
                  <w:marLeft w:val="0"/>
                  <w:marRight w:val="0"/>
                  <w:marTop w:val="0"/>
                  <w:marBottom w:val="0"/>
                  <w:divBdr>
                    <w:top w:val="none" w:sz="0" w:space="0" w:color="auto"/>
                    <w:left w:val="none" w:sz="0" w:space="0" w:color="auto"/>
                    <w:bottom w:val="none" w:sz="0" w:space="0" w:color="auto"/>
                    <w:right w:val="none" w:sz="0" w:space="0" w:color="auto"/>
                  </w:divBdr>
                </w:div>
              </w:divsChild>
            </w:div>
            <w:div w:id="1297687909">
              <w:marLeft w:val="0"/>
              <w:marRight w:val="0"/>
              <w:marTop w:val="0"/>
              <w:marBottom w:val="0"/>
              <w:divBdr>
                <w:top w:val="none" w:sz="0" w:space="0" w:color="auto"/>
                <w:left w:val="none" w:sz="0" w:space="0" w:color="auto"/>
                <w:bottom w:val="none" w:sz="0" w:space="0" w:color="auto"/>
                <w:right w:val="none" w:sz="0" w:space="0" w:color="auto"/>
              </w:divBdr>
              <w:divsChild>
                <w:div w:id="1099907707">
                  <w:marLeft w:val="0"/>
                  <w:marRight w:val="0"/>
                  <w:marTop w:val="0"/>
                  <w:marBottom w:val="0"/>
                  <w:divBdr>
                    <w:top w:val="none" w:sz="0" w:space="0" w:color="auto"/>
                    <w:left w:val="none" w:sz="0" w:space="0" w:color="auto"/>
                    <w:bottom w:val="none" w:sz="0" w:space="0" w:color="auto"/>
                    <w:right w:val="none" w:sz="0" w:space="0" w:color="auto"/>
                  </w:divBdr>
                  <w:divsChild>
                    <w:div w:id="573201232">
                      <w:marLeft w:val="0"/>
                      <w:marRight w:val="0"/>
                      <w:marTop w:val="0"/>
                      <w:marBottom w:val="0"/>
                      <w:divBdr>
                        <w:top w:val="none" w:sz="0" w:space="0" w:color="auto"/>
                        <w:left w:val="none" w:sz="0" w:space="0" w:color="auto"/>
                        <w:bottom w:val="none" w:sz="0" w:space="0" w:color="auto"/>
                        <w:right w:val="none" w:sz="0" w:space="0" w:color="auto"/>
                      </w:divBdr>
                    </w:div>
                  </w:divsChild>
                </w:div>
                <w:div w:id="1948341706">
                  <w:marLeft w:val="0"/>
                  <w:marRight w:val="0"/>
                  <w:marTop w:val="0"/>
                  <w:marBottom w:val="0"/>
                  <w:divBdr>
                    <w:top w:val="none" w:sz="0" w:space="0" w:color="auto"/>
                    <w:left w:val="none" w:sz="0" w:space="0" w:color="auto"/>
                    <w:bottom w:val="none" w:sz="0" w:space="0" w:color="auto"/>
                    <w:right w:val="none" w:sz="0" w:space="0" w:color="auto"/>
                  </w:divBdr>
                </w:div>
              </w:divsChild>
            </w:div>
            <w:div w:id="2061243873">
              <w:marLeft w:val="0"/>
              <w:marRight w:val="0"/>
              <w:marTop w:val="0"/>
              <w:marBottom w:val="0"/>
              <w:divBdr>
                <w:top w:val="none" w:sz="0" w:space="0" w:color="auto"/>
                <w:left w:val="none" w:sz="0" w:space="0" w:color="auto"/>
                <w:bottom w:val="none" w:sz="0" w:space="0" w:color="auto"/>
                <w:right w:val="none" w:sz="0" w:space="0" w:color="auto"/>
              </w:divBdr>
              <w:divsChild>
                <w:div w:id="88936365">
                  <w:marLeft w:val="0"/>
                  <w:marRight w:val="0"/>
                  <w:marTop w:val="0"/>
                  <w:marBottom w:val="0"/>
                  <w:divBdr>
                    <w:top w:val="none" w:sz="0" w:space="0" w:color="auto"/>
                    <w:left w:val="none" w:sz="0" w:space="0" w:color="auto"/>
                    <w:bottom w:val="none" w:sz="0" w:space="0" w:color="auto"/>
                    <w:right w:val="none" w:sz="0" w:space="0" w:color="auto"/>
                  </w:divBdr>
                  <w:divsChild>
                    <w:div w:id="894970840">
                      <w:marLeft w:val="0"/>
                      <w:marRight w:val="0"/>
                      <w:marTop w:val="0"/>
                      <w:marBottom w:val="0"/>
                      <w:divBdr>
                        <w:top w:val="none" w:sz="0" w:space="0" w:color="auto"/>
                        <w:left w:val="none" w:sz="0" w:space="0" w:color="auto"/>
                        <w:bottom w:val="none" w:sz="0" w:space="0" w:color="auto"/>
                        <w:right w:val="none" w:sz="0" w:space="0" w:color="auto"/>
                      </w:divBdr>
                    </w:div>
                  </w:divsChild>
                </w:div>
                <w:div w:id="1647205492">
                  <w:marLeft w:val="0"/>
                  <w:marRight w:val="0"/>
                  <w:marTop w:val="0"/>
                  <w:marBottom w:val="0"/>
                  <w:divBdr>
                    <w:top w:val="none" w:sz="0" w:space="0" w:color="auto"/>
                    <w:left w:val="none" w:sz="0" w:space="0" w:color="auto"/>
                    <w:bottom w:val="none" w:sz="0" w:space="0" w:color="auto"/>
                    <w:right w:val="none" w:sz="0" w:space="0" w:color="auto"/>
                  </w:divBdr>
                </w:div>
              </w:divsChild>
            </w:div>
            <w:div w:id="1802267551">
              <w:marLeft w:val="0"/>
              <w:marRight w:val="0"/>
              <w:marTop w:val="0"/>
              <w:marBottom w:val="0"/>
              <w:divBdr>
                <w:top w:val="none" w:sz="0" w:space="0" w:color="auto"/>
                <w:left w:val="none" w:sz="0" w:space="0" w:color="auto"/>
                <w:bottom w:val="none" w:sz="0" w:space="0" w:color="auto"/>
                <w:right w:val="none" w:sz="0" w:space="0" w:color="auto"/>
              </w:divBdr>
              <w:divsChild>
                <w:div w:id="971904136">
                  <w:marLeft w:val="0"/>
                  <w:marRight w:val="0"/>
                  <w:marTop w:val="0"/>
                  <w:marBottom w:val="0"/>
                  <w:divBdr>
                    <w:top w:val="none" w:sz="0" w:space="0" w:color="auto"/>
                    <w:left w:val="none" w:sz="0" w:space="0" w:color="auto"/>
                    <w:bottom w:val="none" w:sz="0" w:space="0" w:color="auto"/>
                    <w:right w:val="none" w:sz="0" w:space="0" w:color="auto"/>
                  </w:divBdr>
                  <w:divsChild>
                    <w:div w:id="1450709472">
                      <w:marLeft w:val="0"/>
                      <w:marRight w:val="0"/>
                      <w:marTop w:val="0"/>
                      <w:marBottom w:val="0"/>
                      <w:divBdr>
                        <w:top w:val="none" w:sz="0" w:space="0" w:color="auto"/>
                        <w:left w:val="none" w:sz="0" w:space="0" w:color="auto"/>
                        <w:bottom w:val="none" w:sz="0" w:space="0" w:color="auto"/>
                        <w:right w:val="none" w:sz="0" w:space="0" w:color="auto"/>
                      </w:divBdr>
                    </w:div>
                  </w:divsChild>
                </w:div>
                <w:div w:id="10121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9465">
          <w:marLeft w:val="0"/>
          <w:marRight w:val="0"/>
          <w:marTop w:val="0"/>
          <w:marBottom w:val="0"/>
          <w:divBdr>
            <w:top w:val="none" w:sz="0" w:space="0" w:color="auto"/>
            <w:left w:val="none" w:sz="0" w:space="0" w:color="auto"/>
            <w:bottom w:val="none" w:sz="0" w:space="0" w:color="auto"/>
            <w:right w:val="none" w:sz="0" w:space="0" w:color="auto"/>
          </w:divBdr>
        </w:div>
      </w:divsChild>
    </w:div>
    <w:div w:id="1055931797">
      <w:bodyDiv w:val="1"/>
      <w:marLeft w:val="0"/>
      <w:marRight w:val="0"/>
      <w:marTop w:val="0"/>
      <w:marBottom w:val="0"/>
      <w:divBdr>
        <w:top w:val="none" w:sz="0" w:space="0" w:color="auto"/>
        <w:left w:val="none" w:sz="0" w:space="0" w:color="auto"/>
        <w:bottom w:val="none" w:sz="0" w:space="0" w:color="auto"/>
        <w:right w:val="none" w:sz="0" w:space="0" w:color="auto"/>
      </w:divBdr>
    </w:div>
    <w:div w:id="1066026095">
      <w:bodyDiv w:val="1"/>
      <w:marLeft w:val="0"/>
      <w:marRight w:val="0"/>
      <w:marTop w:val="0"/>
      <w:marBottom w:val="0"/>
      <w:divBdr>
        <w:top w:val="none" w:sz="0" w:space="0" w:color="auto"/>
        <w:left w:val="none" w:sz="0" w:space="0" w:color="auto"/>
        <w:bottom w:val="none" w:sz="0" w:space="0" w:color="auto"/>
        <w:right w:val="none" w:sz="0" w:space="0" w:color="auto"/>
      </w:divBdr>
      <w:divsChild>
        <w:div w:id="1011764855">
          <w:marLeft w:val="0"/>
          <w:marRight w:val="0"/>
          <w:marTop w:val="0"/>
          <w:marBottom w:val="0"/>
          <w:divBdr>
            <w:top w:val="none" w:sz="0" w:space="0" w:color="auto"/>
            <w:left w:val="none" w:sz="0" w:space="0" w:color="auto"/>
            <w:bottom w:val="none" w:sz="0" w:space="0" w:color="auto"/>
            <w:right w:val="none" w:sz="0" w:space="0" w:color="auto"/>
          </w:divBdr>
          <w:divsChild>
            <w:div w:id="257643717">
              <w:marLeft w:val="0"/>
              <w:marRight w:val="0"/>
              <w:marTop w:val="0"/>
              <w:marBottom w:val="0"/>
              <w:divBdr>
                <w:top w:val="none" w:sz="0" w:space="0" w:color="auto"/>
                <w:left w:val="none" w:sz="0" w:space="0" w:color="auto"/>
                <w:bottom w:val="none" w:sz="0" w:space="0" w:color="auto"/>
                <w:right w:val="none" w:sz="0" w:space="0" w:color="auto"/>
              </w:divBdr>
              <w:divsChild>
                <w:div w:id="1423603978">
                  <w:marLeft w:val="0"/>
                  <w:marRight w:val="0"/>
                  <w:marTop w:val="0"/>
                  <w:marBottom w:val="0"/>
                  <w:divBdr>
                    <w:top w:val="none" w:sz="0" w:space="0" w:color="auto"/>
                    <w:left w:val="none" w:sz="0" w:space="0" w:color="auto"/>
                    <w:bottom w:val="none" w:sz="0" w:space="0" w:color="auto"/>
                    <w:right w:val="none" w:sz="0" w:space="0" w:color="auto"/>
                  </w:divBdr>
                  <w:divsChild>
                    <w:div w:id="1369456291">
                      <w:marLeft w:val="0"/>
                      <w:marRight w:val="0"/>
                      <w:marTop w:val="0"/>
                      <w:marBottom w:val="0"/>
                      <w:divBdr>
                        <w:top w:val="none" w:sz="0" w:space="0" w:color="auto"/>
                        <w:left w:val="none" w:sz="0" w:space="0" w:color="auto"/>
                        <w:bottom w:val="none" w:sz="0" w:space="0" w:color="auto"/>
                        <w:right w:val="none" w:sz="0" w:space="0" w:color="auto"/>
                      </w:divBdr>
                    </w:div>
                    <w:div w:id="233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9159">
      <w:bodyDiv w:val="1"/>
      <w:marLeft w:val="0"/>
      <w:marRight w:val="0"/>
      <w:marTop w:val="0"/>
      <w:marBottom w:val="0"/>
      <w:divBdr>
        <w:top w:val="none" w:sz="0" w:space="0" w:color="auto"/>
        <w:left w:val="none" w:sz="0" w:space="0" w:color="auto"/>
        <w:bottom w:val="none" w:sz="0" w:space="0" w:color="auto"/>
        <w:right w:val="none" w:sz="0" w:space="0" w:color="auto"/>
      </w:divBdr>
    </w:div>
    <w:div w:id="1177580478">
      <w:bodyDiv w:val="1"/>
      <w:marLeft w:val="0"/>
      <w:marRight w:val="0"/>
      <w:marTop w:val="0"/>
      <w:marBottom w:val="0"/>
      <w:divBdr>
        <w:top w:val="none" w:sz="0" w:space="0" w:color="auto"/>
        <w:left w:val="none" w:sz="0" w:space="0" w:color="auto"/>
        <w:bottom w:val="none" w:sz="0" w:space="0" w:color="auto"/>
        <w:right w:val="none" w:sz="0" w:space="0" w:color="auto"/>
      </w:divBdr>
    </w:div>
    <w:div w:id="1240213860">
      <w:bodyDiv w:val="1"/>
      <w:marLeft w:val="0"/>
      <w:marRight w:val="0"/>
      <w:marTop w:val="0"/>
      <w:marBottom w:val="0"/>
      <w:divBdr>
        <w:top w:val="none" w:sz="0" w:space="0" w:color="auto"/>
        <w:left w:val="none" w:sz="0" w:space="0" w:color="auto"/>
        <w:bottom w:val="none" w:sz="0" w:space="0" w:color="auto"/>
        <w:right w:val="none" w:sz="0" w:space="0" w:color="auto"/>
      </w:divBdr>
    </w:div>
    <w:div w:id="1332371807">
      <w:bodyDiv w:val="1"/>
      <w:marLeft w:val="0"/>
      <w:marRight w:val="0"/>
      <w:marTop w:val="0"/>
      <w:marBottom w:val="0"/>
      <w:divBdr>
        <w:top w:val="none" w:sz="0" w:space="0" w:color="auto"/>
        <w:left w:val="none" w:sz="0" w:space="0" w:color="auto"/>
        <w:bottom w:val="none" w:sz="0" w:space="0" w:color="auto"/>
        <w:right w:val="none" w:sz="0" w:space="0" w:color="auto"/>
      </w:divBdr>
    </w:div>
    <w:div w:id="1392727651">
      <w:bodyDiv w:val="1"/>
      <w:marLeft w:val="0"/>
      <w:marRight w:val="0"/>
      <w:marTop w:val="0"/>
      <w:marBottom w:val="0"/>
      <w:divBdr>
        <w:top w:val="none" w:sz="0" w:space="0" w:color="auto"/>
        <w:left w:val="none" w:sz="0" w:space="0" w:color="auto"/>
        <w:bottom w:val="none" w:sz="0" w:space="0" w:color="auto"/>
        <w:right w:val="none" w:sz="0" w:space="0" w:color="auto"/>
      </w:divBdr>
    </w:div>
    <w:div w:id="1459182658">
      <w:bodyDiv w:val="1"/>
      <w:marLeft w:val="0"/>
      <w:marRight w:val="0"/>
      <w:marTop w:val="0"/>
      <w:marBottom w:val="0"/>
      <w:divBdr>
        <w:top w:val="none" w:sz="0" w:space="0" w:color="auto"/>
        <w:left w:val="none" w:sz="0" w:space="0" w:color="auto"/>
        <w:bottom w:val="none" w:sz="0" w:space="0" w:color="auto"/>
        <w:right w:val="none" w:sz="0" w:space="0" w:color="auto"/>
      </w:divBdr>
    </w:div>
    <w:div w:id="1512067142">
      <w:bodyDiv w:val="1"/>
      <w:marLeft w:val="0"/>
      <w:marRight w:val="0"/>
      <w:marTop w:val="0"/>
      <w:marBottom w:val="0"/>
      <w:divBdr>
        <w:top w:val="none" w:sz="0" w:space="0" w:color="auto"/>
        <w:left w:val="none" w:sz="0" w:space="0" w:color="auto"/>
        <w:bottom w:val="none" w:sz="0" w:space="0" w:color="auto"/>
        <w:right w:val="none" w:sz="0" w:space="0" w:color="auto"/>
      </w:divBdr>
    </w:div>
    <w:div w:id="1541287344">
      <w:bodyDiv w:val="1"/>
      <w:marLeft w:val="0"/>
      <w:marRight w:val="0"/>
      <w:marTop w:val="0"/>
      <w:marBottom w:val="0"/>
      <w:divBdr>
        <w:top w:val="none" w:sz="0" w:space="0" w:color="auto"/>
        <w:left w:val="none" w:sz="0" w:space="0" w:color="auto"/>
        <w:bottom w:val="none" w:sz="0" w:space="0" w:color="auto"/>
        <w:right w:val="none" w:sz="0" w:space="0" w:color="auto"/>
      </w:divBdr>
      <w:divsChild>
        <w:div w:id="958998116">
          <w:marLeft w:val="0"/>
          <w:marRight w:val="0"/>
          <w:marTop w:val="0"/>
          <w:marBottom w:val="0"/>
          <w:divBdr>
            <w:top w:val="none" w:sz="0" w:space="0" w:color="auto"/>
            <w:left w:val="none" w:sz="0" w:space="0" w:color="auto"/>
            <w:bottom w:val="none" w:sz="0" w:space="0" w:color="auto"/>
            <w:right w:val="none" w:sz="0" w:space="0" w:color="auto"/>
          </w:divBdr>
          <w:divsChild>
            <w:div w:id="1588734143">
              <w:marLeft w:val="0"/>
              <w:marRight w:val="0"/>
              <w:marTop w:val="0"/>
              <w:marBottom w:val="0"/>
              <w:divBdr>
                <w:top w:val="none" w:sz="0" w:space="0" w:color="auto"/>
                <w:left w:val="none" w:sz="0" w:space="0" w:color="auto"/>
                <w:bottom w:val="none" w:sz="0" w:space="0" w:color="auto"/>
                <w:right w:val="none" w:sz="0" w:space="0" w:color="auto"/>
              </w:divBdr>
              <w:divsChild>
                <w:div w:id="1054280464">
                  <w:marLeft w:val="0"/>
                  <w:marRight w:val="0"/>
                  <w:marTop w:val="0"/>
                  <w:marBottom w:val="0"/>
                  <w:divBdr>
                    <w:top w:val="none" w:sz="0" w:space="0" w:color="auto"/>
                    <w:left w:val="none" w:sz="0" w:space="0" w:color="auto"/>
                    <w:bottom w:val="none" w:sz="0" w:space="0" w:color="auto"/>
                    <w:right w:val="none" w:sz="0" w:space="0" w:color="auto"/>
                  </w:divBdr>
                  <w:divsChild>
                    <w:div w:id="1775399766">
                      <w:marLeft w:val="0"/>
                      <w:marRight w:val="0"/>
                      <w:marTop w:val="0"/>
                      <w:marBottom w:val="0"/>
                      <w:divBdr>
                        <w:top w:val="none" w:sz="0" w:space="0" w:color="auto"/>
                        <w:left w:val="none" w:sz="0" w:space="0" w:color="auto"/>
                        <w:bottom w:val="none" w:sz="0" w:space="0" w:color="auto"/>
                        <w:right w:val="none" w:sz="0" w:space="0" w:color="auto"/>
                      </w:divBdr>
                    </w:div>
                    <w:div w:id="13078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6456">
      <w:bodyDiv w:val="1"/>
      <w:marLeft w:val="0"/>
      <w:marRight w:val="0"/>
      <w:marTop w:val="0"/>
      <w:marBottom w:val="0"/>
      <w:divBdr>
        <w:top w:val="none" w:sz="0" w:space="0" w:color="auto"/>
        <w:left w:val="none" w:sz="0" w:space="0" w:color="auto"/>
        <w:bottom w:val="none" w:sz="0" w:space="0" w:color="auto"/>
        <w:right w:val="none" w:sz="0" w:space="0" w:color="auto"/>
      </w:divBdr>
    </w:div>
    <w:div w:id="1610118379">
      <w:bodyDiv w:val="1"/>
      <w:marLeft w:val="0"/>
      <w:marRight w:val="0"/>
      <w:marTop w:val="0"/>
      <w:marBottom w:val="0"/>
      <w:divBdr>
        <w:top w:val="none" w:sz="0" w:space="0" w:color="auto"/>
        <w:left w:val="none" w:sz="0" w:space="0" w:color="auto"/>
        <w:bottom w:val="none" w:sz="0" w:space="0" w:color="auto"/>
        <w:right w:val="none" w:sz="0" w:space="0" w:color="auto"/>
      </w:divBdr>
    </w:div>
    <w:div w:id="1697467149">
      <w:bodyDiv w:val="1"/>
      <w:marLeft w:val="0"/>
      <w:marRight w:val="0"/>
      <w:marTop w:val="0"/>
      <w:marBottom w:val="0"/>
      <w:divBdr>
        <w:top w:val="none" w:sz="0" w:space="0" w:color="auto"/>
        <w:left w:val="none" w:sz="0" w:space="0" w:color="auto"/>
        <w:bottom w:val="none" w:sz="0" w:space="0" w:color="auto"/>
        <w:right w:val="none" w:sz="0" w:space="0" w:color="auto"/>
      </w:divBdr>
    </w:div>
    <w:div w:id="1758096934">
      <w:bodyDiv w:val="1"/>
      <w:marLeft w:val="0"/>
      <w:marRight w:val="0"/>
      <w:marTop w:val="0"/>
      <w:marBottom w:val="0"/>
      <w:divBdr>
        <w:top w:val="none" w:sz="0" w:space="0" w:color="auto"/>
        <w:left w:val="none" w:sz="0" w:space="0" w:color="auto"/>
        <w:bottom w:val="none" w:sz="0" w:space="0" w:color="auto"/>
        <w:right w:val="none" w:sz="0" w:space="0" w:color="auto"/>
      </w:divBdr>
    </w:div>
    <w:div w:id="1918323756">
      <w:bodyDiv w:val="1"/>
      <w:marLeft w:val="0"/>
      <w:marRight w:val="0"/>
      <w:marTop w:val="0"/>
      <w:marBottom w:val="0"/>
      <w:divBdr>
        <w:top w:val="none" w:sz="0" w:space="0" w:color="auto"/>
        <w:left w:val="none" w:sz="0" w:space="0" w:color="auto"/>
        <w:bottom w:val="none" w:sz="0" w:space="0" w:color="auto"/>
        <w:right w:val="none" w:sz="0" w:space="0" w:color="auto"/>
      </w:divBdr>
    </w:div>
    <w:div w:id="1929345686">
      <w:bodyDiv w:val="1"/>
      <w:marLeft w:val="0"/>
      <w:marRight w:val="0"/>
      <w:marTop w:val="0"/>
      <w:marBottom w:val="0"/>
      <w:divBdr>
        <w:top w:val="none" w:sz="0" w:space="0" w:color="auto"/>
        <w:left w:val="none" w:sz="0" w:space="0" w:color="auto"/>
        <w:bottom w:val="none" w:sz="0" w:space="0" w:color="auto"/>
        <w:right w:val="none" w:sz="0" w:space="0" w:color="auto"/>
      </w:divBdr>
      <w:divsChild>
        <w:div w:id="798457227">
          <w:marLeft w:val="0"/>
          <w:marRight w:val="0"/>
          <w:marTop w:val="0"/>
          <w:marBottom w:val="0"/>
          <w:divBdr>
            <w:top w:val="none" w:sz="0" w:space="0" w:color="auto"/>
            <w:left w:val="none" w:sz="0" w:space="0" w:color="auto"/>
            <w:bottom w:val="none" w:sz="0" w:space="0" w:color="auto"/>
            <w:right w:val="none" w:sz="0" w:space="0" w:color="auto"/>
          </w:divBdr>
          <w:divsChild>
            <w:div w:id="188106518">
              <w:marLeft w:val="0"/>
              <w:marRight w:val="0"/>
              <w:marTop w:val="0"/>
              <w:marBottom w:val="0"/>
              <w:divBdr>
                <w:top w:val="none" w:sz="0" w:space="0" w:color="auto"/>
                <w:left w:val="none" w:sz="0" w:space="0" w:color="auto"/>
                <w:bottom w:val="none" w:sz="0" w:space="0" w:color="auto"/>
                <w:right w:val="none" w:sz="0" w:space="0" w:color="auto"/>
              </w:divBdr>
              <w:divsChild>
                <w:div w:id="1968195609">
                  <w:marLeft w:val="0"/>
                  <w:marRight w:val="0"/>
                  <w:marTop w:val="0"/>
                  <w:marBottom w:val="0"/>
                  <w:divBdr>
                    <w:top w:val="none" w:sz="0" w:space="0" w:color="auto"/>
                    <w:left w:val="none" w:sz="0" w:space="0" w:color="auto"/>
                    <w:bottom w:val="none" w:sz="0" w:space="0" w:color="auto"/>
                    <w:right w:val="none" w:sz="0" w:space="0" w:color="auto"/>
                  </w:divBdr>
                  <w:divsChild>
                    <w:div w:id="748043624">
                      <w:marLeft w:val="0"/>
                      <w:marRight w:val="0"/>
                      <w:marTop w:val="0"/>
                      <w:marBottom w:val="0"/>
                      <w:divBdr>
                        <w:top w:val="none" w:sz="0" w:space="0" w:color="auto"/>
                        <w:left w:val="none" w:sz="0" w:space="0" w:color="auto"/>
                        <w:bottom w:val="none" w:sz="0" w:space="0" w:color="auto"/>
                        <w:right w:val="none" w:sz="0" w:space="0" w:color="auto"/>
                      </w:divBdr>
                    </w:div>
                    <w:div w:id="12532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0425">
      <w:bodyDiv w:val="1"/>
      <w:marLeft w:val="0"/>
      <w:marRight w:val="0"/>
      <w:marTop w:val="0"/>
      <w:marBottom w:val="0"/>
      <w:divBdr>
        <w:top w:val="none" w:sz="0" w:space="0" w:color="auto"/>
        <w:left w:val="none" w:sz="0" w:space="0" w:color="auto"/>
        <w:bottom w:val="none" w:sz="0" w:space="0" w:color="auto"/>
        <w:right w:val="none" w:sz="0" w:space="0" w:color="auto"/>
      </w:divBdr>
      <w:divsChild>
        <w:div w:id="1253320366">
          <w:marLeft w:val="0"/>
          <w:marRight w:val="0"/>
          <w:marTop w:val="0"/>
          <w:marBottom w:val="0"/>
          <w:divBdr>
            <w:top w:val="none" w:sz="0" w:space="0" w:color="auto"/>
            <w:left w:val="none" w:sz="0" w:space="0" w:color="auto"/>
            <w:bottom w:val="none" w:sz="0" w:space="0" w:color="auto"/>
            <w:right w:val="none" w:sz="0" w:space="0" w:color="auto"/>
          </w:divBdr>
          <w:divsChild>
            <w:div w:id="2088307581">
              <w:marLeft w:val="0"/>
              <w:marRight w:val="0"/>
              <w:marTop w:val="0"/>
              <w:marBottom w:val="0"/>
              <w:divBdr>
                <w:top w:val="none" w:sz="0" w:space="0" w:color="auto"/>
                <w:left w:val="none" w:sz="0" w:space="0" w:color="auto"/>
                <w:bottom w:val="none" w:sz="0" w:space="0" w:color="auto"/>
                <w:right w:val="none" w:sz="0" w:space="0" w:color="auto"/>
              </w:divBdr>
              <w:divsChild>
                <w:div w:id="2024016683">
                  <w:marLeft w:val="0"/>
                  <w:marRight w:val="0"/>
                  <w:marTop w:val="0"/>
                  <w:marBottom w:val="0"/>
                  <w:divBdr>
                    <w:top w:val="none" w:sz="0" w:space="0" w:color="auto"/>
                    <w:left w:val="none" w:sz="0" w:space="0" w:color="auto"/>
                    <w:bottom w:val="none" w:sz="0" w:space="0" w:color="auto"/>
                    <w:right w:val="none" w:sz="0" w:space="0" w:color="auto"/>
                  </w:divBdr>
                  <w:divsChild>
                    <w:div w:id="1971285439">
                      <w:marLeft w:val="0"/>
                      <w:marRight w:val="0"/>
                      <w:marTop w:val="0"/>
                      <w:marBottom w:val="0"/>
                      <w:divBdr>
                        <w:top w:val="none" w:sz="0" w:space="0" w:color="auto"/>
                        <w:left w:val="none" w:sz="0" w:space="0" w:color="auto"/>
                        <w:bottom w:val="none" w:sz="0" w:space="0" w:color="auto"/>
                        <w:right w:val="none" w:sz="0" w:space="0" w:color="auto"/>
                      </w:divBdr>
                    </w:div>
                    <w:div w:id="13211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5266">
      <w:bodyDiv w:val="1"/>
      <w:marLeft w:val="0"/>
      <w:marRight w:val="0"/>
      <w:marTop w:val="0"/>
      <w:marBottom w:val="0"/>
      <w:divBdr>
        <w:top w:val="none" w:sz="0" w:space="0" w:color="auto"/>
        <w:left w:val="none" w:sz="0" w:space="0" w:color="auto"/>
        <w:bottom w:val="none" w:sz="0" w:space="0" w:color="auto"/>
        <w:right w:val="none" w:sz="0" w:space="0" w:color="auto"/>
      </w:divBdr>
    </w:div>
    <w:div w:id="2084327044">
      <w:bodyDiv w:val="1"/>
      <w:marLeft w:val="0"/>
      <w:marRight w:val="0"/>
      <w:marTop w:val="0"/>
      <w:marBottom w:val="0"/>
      <w:divBdr>
        <w:top w:val="none" w:sz="0" w:space="0" w:color="auto"/>
        <w:left w:val="none" w:sz="0" w:space="0" w:color="auto"/>
        <w:bottom w:val="none" w:sz="0" w:space="0" w:color="auto"/>
        <w:right w:val="none" w:sz="0" w:space="0" w:color="auto"/>
      </w:divBdr>
    </w:div>
    <w:div w:id="20934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Hamsa Bharadwaj</dc:creator>
  <cp:keywords/>
  <dc:description/>
  <cp:lastModifiedBy>Hamsa Bharadwaj</cp:lastModifiedBy>
  <cp:revision>1</cp:revision>
  <dcterms:created xsi:type="dcterms:W3CDTF">2024-09-19T08:59:00Z</dcterms:created>
  <dcterms:modified xsi:type="dcterms:W3CDTF">2024-09-26T13:31:00Z</dcterms:modified>
</cp:coreProperties>
</file>