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identifying high-risk cases for senior reviewer escalation.</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analyzing policy violations and anomalous patterns to inform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Analyzed 200+ weekly cases to detect recurring fraud patterns, reducing repeat-issue investigation time before escalation.</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records.</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 using Nessus, OpenVAS, and NVD API.</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