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&amp; policy eligibility, mirroring SOC Tier 1 analyst workflow.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 to identify policy violations &amp; anomalous patterns;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&amp; corrective actions, establishing evidence chain-of-custody discipline.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Collaborated with compliance &amp; risk teams to enforce regulatory policies, identify process control gaps, &amp; implement corrective actions.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Phishing &amp;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 using VirusTotal, AbuseIPDB, &amp; WHOIS to produce phishing probability score.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domain detector generating character-substitution variants of brand domains &amp; checking live DNS resolution.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enabling analysts to submit URLs for live IOC enrichment &amp; OSINT enrichment via theHarvester.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&amp;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&amp; OpenVAS REST APIs in Python, generating CVE reports classified by CVSS severity.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sending crafted HTTP requests to detect injection, broken auth, &amp; SSRF vulnerabilities.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&amp; cron; built delta-scan logic to flag newly discovered CVEs &amp; calculate remediation SLA deadlines.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GRC &amp; Compliance: NIST CSF, ISO 27001 (concepts), PCI-DSS, GDPR/PDPB, SOX/ITGC basics, compliance monitoring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Risk &amp; Audit: Risk assessment, control testing, audit documentation, vendor risk, RCSA basics, third-party risk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Fraud &amp; AML: Transaction monitoring, AML typologies, KYC/CDD, sanctions screening, financial crime indicators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Systems &amp; Tools: Python, Excel (pivot, VLOOKUP), SQL (basic), Linux fundamentals, Windows internals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Frameworks: 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