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resource allocation.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resolution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flagged recurring fraud patterns early, reducing repeat-issue investigation time and demonstrating proactive risk mitigation and fraud detection capabilities.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transparent and accountable case management and decision-making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