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workflows, reducing issue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resolution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compliance and transparency.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risk exposure.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