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following structured workflows, for timely decision-making and efficient issue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for improved case accuracy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identify recurring fraud patterns, flagged them early, and reduced repeat-issue investigation time before escalation, demonstrating proactive risk mitigation.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transparent and accountable case management and decision-making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