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and accurate case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identified policy violations and anomalous patterns, and escalated findings to senior reviewers,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spot recurring fraud patterns, flagged them early, and reduced repeat-issue investigation time before escalation, demonstrating proactive compliance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notes recording investigation findings, decisions, evidence notes, and corrective actions, maintaining control evidence and decision trails for compliance purposes.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data to VirusTotal, AbuseIPDB, URLScan.io, and cross-referencing WHOIS, DNS,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using Python, AbuseIPDB, and WHOIS to generate domain variants and check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 using Python, Telegram bot, and theHarvester for domain profiling.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 to detect injection, auth, and SSRF vulnerabilities,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built delta-scan logic to flag new CVEs, and tracked patch compliance using Nessus and OpenVAS REST APIs in Python.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