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risk-informed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and informing risk prioritization.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cyber threat intelligence pipeline: submits IOCs to VirusTotal, AbuseIPDB, and URLScan.io; cross-references WHOIS registration data, DNS records, and SSL certificate details for intelligence products.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tracked infrastructure and checking live DNS resolution for infrastructure-based threat hunting.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real-time IOC enrichment enabling analysts to process indicators at scale; supports bulk CSV input/output for threat intelligence workflows and includes OSINT enrichment via theHarvester for comprehensive domain attribution.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