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using structured workflows for timely decision-making and efficient issue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anomalies, and escalated findings to senior reviewers, improving case outcomes and reducing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identify recurring fraud patterns, flagged them early, and reduced repeat-issue investigation time before escalation, demonstrating proactive risk mitigation.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transparent and accountable case management and decision-making processes.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using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