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root cause analysis findings, decisions, evidence notes, and corrective actions in audit-ready case records, maintaining a clear and transparent investigation trail.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