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flagging them early and reducing repeat-issue investigation time before escalation, resulting in improved case efficiency and reduced risk exposure.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transparent and accountable case management and decision-making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