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cases for early escalation and decision-making.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conducting root cause analysis to identify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accurate and thorough case documentation.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