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90% of cases resolved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100% of cases meeting audit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