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triage, escalation, and decision workflows, producing a consistent case disposition rate.</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enabling timely remediation.</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Documented audit‑ready case records with investigation findings, evidence notes, and corrective actions, maintaining 100% audit readiness for compliance reviews.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Detected recurring fraud patterns across 200+ weekly cases, flagging them early to reduce repeat‑issue investigation time before escalation, cutting repeat investigations by 30%.</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Splunk SIEM with SPL correlation searches for brute-force detection, lateral movement, and privilege escalation; mapped TTPs to MITRE ATT&amp;CK and wrote PICERL incident report.</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SOAR-style detection pipeline: Python script ingests Splunk alerts, runs IOC enrichment via VirusTotal API, and dispatches Telegram notifications with severity classification.</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Converted detection logic to Sigma rules for vendor-neutral use and performed TCP/IP analysis in Wireshark to detect SYN scans, DNS tunnelling, and plaintext credential exposure on unencrypted sessions.</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multi-API threat intelligence pipeline: submits suspicious URLs and IPs to VirusTotal and AbuseIPDB and cross-references WHOIS registration age, DNS records, and SSL details for phishing analysis.</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detector generating character-substitution variants of brand domains and checking live DNS resolution for brand-impersonation analysis.</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supports bulk CSV input and output for incident response workflows, and includes OSINT enrichment via theHarvester for domain profiling.</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33" w:after="33"/>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33" w:after="33"/>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33" w:after="33"/>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