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compliance with regulatory requirements.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