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95% on-time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flagging them early to prevent repeat issues, and maintaining a 99% accuracy rate in identifying policy violations.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evidence, and corrective actions, ensuring 100% compliance tracking and decision trails.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VirusTotal API, AbuseIPDB, and WHOIS for brand-impersonation analysis and DNS resolution checks.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 using Python, theHarvester, and Telegram bot for domain profiling and bulk CSV input/output.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 and Bash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CVEs and track patch compliance using Python, Nessus,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