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AppSec alert triage and escalation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demonstrating investigative instincts central to AppSec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Collaborated with compliance and risk teams to enforce regulatory policies, identify process control gaps, and implement corrective actions — building operational instincts directly applicable to GRC analyst, risk management, and compliance monitoring roles.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calculate remediation SLA deadlines for patch compliance tracking.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mapping TTPs to MITRE ATT&amp;CK (T1110, T1078, T1059).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SOCs), performing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