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severity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99% documentation quality and accuracy.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and reducing repeat-issue investigation time by 25% before escalation to senior reviewers.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endpoint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