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95% of cases resolved within 3 days.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actions, maintaining a 99% accuracy rate in case documentation.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Tax Compliance Automation and Structured Escalation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 and created audit-ready case notes.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 IOC data, and dispatches severity-based notifications with CVSS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SYN scans, DNS tunnelling, and plaintext credential exposure in Wireshark.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Tracking and Pattern Recognition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compliance tracking evidence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remediation using parameterised queries.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compliance tracking evidence with pattern recognition.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