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risk-based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risk mitigation and security enhancement.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ensuring control evidence and compliance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 and minimizing security risk.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