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with 100% accuracy.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resulting in 95% of cases being resolved within 3 days.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identify recurring fraud patterns, reducing repeat-issue investigation time by 30%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 99% compliance rate with review standards.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app security vulnerabilities, including injection, auth, and SSRF, and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