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with 95% escalation success rate.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80% of repeat-issue cases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maintaining 99% accuracy in investigation findings, decisions, evidence notes, and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using Python, Splunk, and VirusTotal API; ingested Splunk alerts, ran IOC enrichment (threat intelligence), and dispatched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using Python, Splunk, and Wireshark; performed TCP/IP analysis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Python, Nessus, and OpenVAS REST APIs;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using Python, Bash, and HTTP requests; detected injection, broken auth, and SSRF vulnerabilities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cron; built delta-scan logic to flag newly discovered CVEs and organize patch compliance (remediation tracking) tracking evidence using Python,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