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6" w:after="16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high-priority issues for timely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uncovering policy violations and anomalous patterns that informed business decisions.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reducing repeat-issue investigation time through proactive flagging.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findings, decisions, evidence notes, and corrective actions, maintaining a comprehensive record of investigations.</w:t>
      </w:r>
    </w:p>
    <w:p w14:paraId="5D98801B" w14:textId="77777777" w:rsidR="00F07F8F" w:rsidRDefault="00F07F8F" w:rsidP="00F07F8F">
      <w:pPr>
        <w:spacing w:before="16" w:after="16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4CE68D4" w:rsidR="00F85316" w:rsidRDefault="00000000" w:rsidP="00F07F8F">
      <w:pPr>
        <w:spacing w:before="76" w:after="13"/>
      </w:pPr>
      <w:r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GRC Privacy Analyst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Audit trails, decision trails, corrective actions, evidence notes, control validation, compliance tracking, evidence completeness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multi-source risk assessment pipeline: submits vendor domains and IPs to VirusTotal, AbuseIPDB, and URLScan.io, cross-referencing WHOIS, DNS, and SSL certificate details.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domain reputation assessment tool detecting typosquatting variants and live DNS resolution for vendor and partner ecosystem review.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for automated risk assessment, supporting bulk CSV input/output and OSINT enrichment via theHarvester for comprehensive domain profiling.</w:t>
      </w:r>
    </w:p>
    <w:p w14:paraId="50EFC0D0" w14:textId="77777777" w:rsidR="00F85316" w:rsidRDefault="00F85316">
      <w:pPr>
        <w:spacing w:before="16" w:after="16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GRC Privacy Analyst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 Python, integrating Nessus and OpenVAS APIs, and generating audit-ready CVE reports with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compliance checker validating web app security controls against regulatory requirements, documenting vulnerability-to-remediation audit trails.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compliance scan scheduling via Bash and cron; built delta-scan logic to track remediation progress and organize audit evidence for patch compliance (remediation tracking) review.</w:t>
      </w:r>
    </w:p>
    <w:p w14:paraId="3A497994" w14:textId="77777777" w:rsidR="00B76EA0" w:rsidRPr="00B76EA0" w:rsidRDefault="00B76EA0" w:rsidP="00B76EA0">
      <w:pPr>
        <w:pStyle w:val="ListParagraph"/>
        <w:spacing w:before="16" w:after="16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0" w:after="40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40" w:after="40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40" w:after="40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40" w:after="40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40" w:after="40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" w:after="16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E16895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2026-04-29T08:58:00Z</dcterms:modified>
</cp:coreProperties>
</file>