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for further action.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decisions, and corrective actions, creating a searchable security evidence repository.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correlation searches for brute force detection, lateral movement and privilege escalation and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script that ingests Splunk alerts, enriches IOCs using MITRE ATT&amp;CK knowledge base and generates severity classification logs.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into Python parsers and used Wireshark captures to identify SYN scans, DNS tunnelling and plaintext credential exposure findings.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multi‑API threat intelligence pipeline that submits suspicious URLs and IPs to VirusTotal API and AbuseIPDB and cross‑references WHOIS registration data for phishing analysis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that generates character‑substitution variants of brand domains and checks live WHOIS records for brand‑impersonation findings.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URLs, process bulk CSV input and enrich IOCs with VirusTotal API and AbuseIPDB data producing an enriched IOC dataset.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