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applying structured triage and escalation workflow, producing a compliance‑ready case queue.</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root causes of seller claims, identified policy violations and anomalous patterns, and escalated findings to senior reviewers, generating a risk prioritization report.</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Documented audit‑ready case files with investigation findings, decisions, evidence notes, and corrective actions, creating a control evidence repository.</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Identified recurring fraud patterns across case history and flagged them ahead of weekly review cycles, cutting repeat-issue re-investigation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multi-API threat intelligence pipeline in Python that submits suspicious URLs and IPs to VirusTotal, AbuseIPDB, and URLScan.io; cross-references WHOIS registration age, DNS records, and SSL details to produce a phishing analysis report.</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Implemented a typosquatting domain detector that generates character‑substitution variants of brand domains and checks live DNS resolution to create a typosquatting detection list.</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a Telegram bot interface that enables analysts to submit URLs for live IOC enrichment, supports bulk CSV input and output, and adds OSINT enrichment via theHarvester to deliver an enriched IOC package.</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an automated vulnerability assessment pipeline in Python that integrates Nessus and OpenVAS REST APIs, generates CVE reports classified by CVSS severity, and adds EPSS context from the FIRST.org API to create a comprehensive vulnerability report.</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an OWASP Top 10 automated web checker that sends crafted HTTP requests to detect injection, broken authentication, and SSRF vulnerabilities; documented findings in a SQL injection exploit and remediation guide.</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with Bash and cron, added delta‑scan logic to flag newly discovered CVEs, and organized patch compliance tracking evidence for each identified vulnerability.</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7" w:after="27"/>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7" w:after="27"/>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7" w:after="27"/>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