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policy, applying structured workflows for timely decision-making and efficient resource allocation.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escalating findings to senior reviewers for improved case resolution and reduced repeat-issue investigation time.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root cause of seller claims, documenting investigation findings, decisions, evidence notes, and corrective actions in audit-ready case records, ensuring transparency and accountability.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Detected recurring fraud patterns, flagging 200+ weekly cases early, reducing repeat-issue investigation time and enhancing case triage efficiency.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 using Python, ingesting Splunk alerts, enriching with VirusTotal API, and dispatching Telegram notifications with CVSS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vulnerabilities, documenting SQL injection exploit and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 using NVD API.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