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 and reduced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resolution and reduced risk exposure.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recurring fraud patterns, flagged them early, and reduced repeat-issue investigation time before escalation, demonstrating proactive security awareness.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 in case resolution processes.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application security testing pipeline integrating Nessus and OpenVAS APIs in Python; generated vulnerability reports classified by CVSS severity (vulnerability prioritisation) with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application security checker detecting injection, broken authentication, SSRF, and XSS vulnerabilities; documented SQL injection exploit-to-remediation workflow with parameterised query fixes.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security scan scheduling via Bash and cron integrated with development cycles; built delta-scan logic to flag newly introduced CVEs for secure development lifecycle tracking.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