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95% of cases being resolved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100% of cases were compliant with regulatory requirements.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