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fraud intelligence pipeline: submits suspicious domains and IPs to VirusTotal, AbuseIPDB, and URLScan.io; cross-references WHOIS registration age, DNS records, and SSL details for KYC domain-verification workflows.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legitimate business domains and checking live DNS resolution for financial fraud infrastructure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suspicious entity enrichment supporting bulk CSV input/output for investigation workflows; includes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