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and escalation workflow, maintaining a 95% on‑time escalation rate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of seller claims, identified policy violations and anomalous patterns, and escalated findings to senior reviewers, producing detailed escalation reports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audit‑ready case files with investigation findings, evidence notes, and corrective actions, creating 50+ compliant records weekly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to reduce repeat‑issue investigation time before escalation, reducing repeat investigations by 30%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brute‑force, lateral movement and privilege escalation; mapped detected TTPs to MITRE ATT&amp;CK framework and generated a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a Python automation that ingests Splunk alerts, enriches each alert with MITRE ATT&amp;CK technique lookup, launches an Nmap scan for associated IPs and logs the results back to Splunk as an enrichment workflow.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Translated existing detection logic into detailed Splunk SPL queries, captured network traffic with Wireshark for verification and stored the analysis in a Wireshark capture file.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 Python pipeline that submits suspicious URLs and IPs to VirusTotal and AbuseIPDB, then queries WHOIS for registration and DNS details, outputting a structured JSON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a Python typosquatting detector that generates character‑substitution variants of brand domains, performs live DNS resolution checks and records any flagged domains in a list.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 Telegram bot in Python that accepts URLs or bulk CSV files, enriches each entry via VirusTotal and AbuseIPDB, adds WHOIS metadata and returns the enriched data as a CSV response file.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